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84" w:rsidRPr="00C32A84" w:rsidRDefault="00C32A84">
      <w:pPr>
        <w:tabs>
          <w:tab w:val="center" w:pos="4253"/>
        </w:tabs>
        <w:suppressAutoHyphens/>
        <w:jc w:val="center"/>
        <w:rPr>
          <w:rFonts w:ascii="Arial" w:hAnsi="Arial" w:cs="Arial"/>
          <w:lang w:val="es-ES_tradnl"/>
        </w:rPr>
      </w:pPr>
      <w:r w:rsidRPr="00C32A84">
        <w:rPr>
          <w:rFonts w:ascii="Arial" w:hAnsi="Arial" w:cs="Arial"/>
          <w:lang w:val="es-ES_tradnl"/>
        </w:rPr>
        <w:t>RESOLUCION ADOPTADA POR EL</w:t>
      </w:r>
    </w:p>
    <w:p w:rsidR="00C32A84" w:rsidRPr="00C32A84" w:rsidRDefault="00C32A84">
      <w:pPr>
        <w:tabs>
          <w:tab w:val="left" w:pos="-720"/>
        </w:tabs>
        <w:suppressAutoHyphens/>
        <w:jc w:val="center"/>
        <w:rPr>
          <w:rFonts w:ascii="Arial" w:hAnsi="Arial" w:cs="Arial"/>
          <w:lang w:val="es-ES_tradnl"/>
        </w:rPr>
      </w:pPr>
    </w:p>
    <w:p w:rsidR="00C32A84" w:rsidRPr="00C32A84" w:rsidRDefault="00C32A84">
      <w:pPr>
        <w:tabs>
          <w:tab w:val="center" w:pos="4253"/>
        </w:tabs>
        <w:suppressAutoHyphens/>
        <w:jc w:val="center"/>
        <w:rPr>
          <w:rFonts w:ascii="Arial" w:hAnsi="Arial" w:cs="Arial"/>
          <w:lang w:val="es-ES_tradnl"/>
        </w:rPr>
      </w:pPr>
      <w:r w:rsidRPr="00C32A84">
        <w:rPr>
          <w:rFonts w:ascii="Arial" w:hAnsi="Arial" w:cs="Arial"/>
          <w:lang w:val="es-ES_tradnl"/>
        </w:rPr>
        <w:t>TRIBUNAL DE CUENTAS</w:t>
      </w:r>
    </w:p>
    <w:p w:rsidR="00C32A84" w:rsidRPr="00C32A84" w:rsidRDefault="00C32A84">
      <w:pPr>
        <w:tabs>
          <w:tab w:val="left" w:pos="-720"/>
        </w:tabs>
        <w:suppressAutoHyphens/>
        <w:jc w:val="center"/>
        <w:rPr>
          <w:rFonts w:ascii="Arial" w:hAnsi="Arial" w:cs="Arial"/>
          <w:lang w:val="es-ES_tradnl"/>
        </w:rPr>
      </w:pPr>
    </w:p>
    <w:p w:rsidR="00C32A84" w:rsidRPr="00C32A84" w:rsidRDefault="00C32A84">
      <w:pPr>
        <w:tabs>
          <w:tab w:val="center" w:pos="4253"/>
        </w:tabs>
        <w:suppressAutoHyphens/>
        <w:jc w:val="center"/>
        <w:rPr>
          <w:rFonts w:ascii="Arial" w:hAnsi="Arial" w:cs="Arial"/>
          <w:lang w:val="es-ES_tradnl"/>
        </w:rPr>
      </w:pPr>
      <w:r w:rsidRPr="00C32A84">
        <w:rPr>
          <w:rFonts w:ascii="Arial" w:hAnsi="Arial" w:cs="Arial"/>
          <w:lang w:val="es-ES_tradnl"/>
        </w:rPr>
        <w:t>EN SESION DE FECHA  DE  22 DE ENERO DE  2014</w:t>
      </w:r>
    </w:p>
    <w:p w:rsidR="00C32A84" w:rsidRPr="00C32A84" w:rsidRDefault="00C32A84">
      <w:pPr>
        <w:tabs>
          <w:tab w:val="center" w:pos="4253"/>
        </w:tabs>
        <w:suppressAutoHyphens/>
        <w:jc w:val="center"/>
        <w:rPr>
          <w:rFonts w:ascii="Arial" w:hAnsi="Arial" w:cs="Arial"/>
          <w:lang w:val="es-ES_tradnl"/>
        </w:rPr>
      </w:pPr>
    </w:p>
    <w:p w:rsidR="00C32A84" w:rsidRPr="00C32A84" w:rsidRDefault="00C32A84">
      <w:pPr>
        <w:tabs>
          <w:tab w:val="center" w:pos="4253"/>
        </w:tabs>
        <w:suppressAutoHyphens/>
        <w:jc w:val="center"/>
        <w:rPr>
          <w:rFonts w:ascii="Arial" w:hAnsi="Arial" w:cs="Arial"/>
          <w:lang w:val="es-UY"/>
        </w:rPr>
      </w:pPr>
      <w:r w:rsidRPr="00C32A84">
        <w:rPr>
          <w:rFonts w:ascii="Arial" w:hAnsi="Arial" w:cs="Arial"/>
          <w:lang w:val="es-UY"/>
        </w:rPr>
        <w:t xml:space="preserve">(E. E. Nº 2014-17-1-0000168, </w:t>
      </w:r>
      <w:proofErr w:type="spellStart"/>
      <w:r w:rsidRPr="00C32A84">
        <w:rPr>
          <w:rFonts w:ascii="Arial" w:hAnsi="Arial" w:cs="Arial"/>
          <w:lang w:val="es-UY"/>
        </w:rPr>
        <w:t>Ent</w:t>
      </w:r>
      <w:proofErr w:type="spellEnd"/>
      <w:r w:rsidRPr="00C32A84">
        <w:rPr>
          <w:rFonts w:ascii="Arial" w:hAnsi="Arial" w:cs="Arial"/>
          <w:lang w:val="es-UY"/>
        </w:rPr>
        <w:t>. N° 141/14.)</w:t>
      </w:r>
    </w:p>
    <w:p w:rsidR="00C32A84" w:rsidRPr="00C32A84" w:rsidRDefault="00C32A84">
      <w:pPr>
        <w:tabs>
          <w:tab w:val="center" w:pos="4253"/>
        </w:tabs>
        <w:suppressAutoHyphens/>
        <w:jc w:val="center"/>
        <w:rPr>
          <w:rFonts w:ascii="Arial" w:hAnsi="Arial"/>
          <w:spacing w:val="-3"/>
          <w:lang w:val="es-UY"/>
        </w:rPr>
      </w:pPr>
    </w:p>
    <w:p w:rsidR="006B3290" w:rsidRDefault="006B3290" w:rsidP="00C32A84">
      <w:pPr>
        <w:pStyle w:val="Ttulo8"/>
        <w:numPr>
          <w:ilvl w:val="0"/>
          <w:numId w:val="0"/>
        </w:numPr>
        <w:ind w:firstLine="708"/>
        <w:rPr>
          <w:b w:val="0"/>
          <w:szCs w:val="24"/>
        </w:rPr>
      </w:pPr>
      <w:r>
        <w:rPr>
          <w:szCs w:val="24"/>
        </w:rPr>
        <w:t xml:space="preserve">VISTO: </w:t>
      </w:r>
      <w:r>
        <w:rPr>
          <w:b w:val="0"/>
          <w:szCs w:val="24"/>
        </w:rPr>
        <w:t>las actuaciones remitidas por la Intendencia de Maldonado relacionadas con la</w:t>
      </w:r>
      <w:r>
        <w:rPr>
          <w:b w:val="0"/>
        </w:rPr>
        <w:t xml:space="preserve"> </w:t>
      </w:r>
      <w:r>
        <w:rPr>
          <w:b w:val="0"/>
          <w:szCs w:val="24"/>
        </w:rPr>
        <w:t>Licitación  Pública Nº 10/2013 convocada para la adquisición de uniformes para los funcionarios municipales;</w:t>
      </w:r>
    </w:p>
    <w:p w:rsidR="006B3290" w:rsidRDefault="006B3290" w:rsidP="00C32A84">
      <w:pPr>
        <w:spacing w:line="360" w:lineRule="auto"/>
        <w:ind w:firstLine="708"/>
        <w:jc w:val="both"/>
        <w:rPr>
          <w:rFonts w:cs="Arial"/>
          <w:b w:val="0"/>
          <w:iCs/>
          <w:lang w:val="es-MX"/>
        </w:rPr>
      </w:pPr>
      <w:r>
        <w:rPr>
          <w:rFonts w:ascii="Arial" w:hAnsi="Arial" w:cs="Arial"/>
          <w:szCs w:val="24"/>
        </w:rPr>
        <w:t xml:space="preserve">RESULTANDO: </w:t>
      </w:r>
      <w:r>
        <w:rPr>
          <w:rFonts w:ascii="Arial" w:hAnsi="Arial" w:cs="Arial"/>
          <w:bCs/>
        </w:rPr>
        <w:t>1)</w:t>
      </w:r>
      <w:r>
        <w:rPr>
          <w:rFonts w:cs="Arial"/>
          <w:b w:val="0"/>
          <w:lang w:val="es-MX"/>
        </w:rPr>
        <w:t xml:space="preserve"> </w:t>
      </w:r>
      <w:r>
        <w:rPr>
          <w:rFonts w:ascii="Arial" w:hAnsi="Arial" w:cs="Arial"/>
          <w:b w:val="0"/>
        </w:rPr>
        <w:t>que el Art</w:t>
      </w:r>
      <w:r w:rsidR="00C32A84">
        <w:rPr>
          <w:rFonts w:ascii="Arial" w:hAnsi="Arial" w:cs="Arial"/>
          <w:b w:val="0"/>
        </w:rPr>
        <w:t>ículo</w:t>
      </w:r>
      <w:r>
        <w:rPr>
          <w:rFonts w:ascii="Arial" w:hAnsi="Arial" w:cs="Arial"/>
          <w:b w:val="0"/>
        </w:rPr>
        <w:t xml:space="preserve"> </w:t>
      </w:r>
      <w:r>
        <w:rPr>
          <w:rFonts w:ascii="Arial" w:hAnsi="Arial" w:cs="Arial"/>
          <w:b w:val="0"/>
          <w:szCs w:val="24"/>
        </w:rPr>
        <w:t>17 del Pliego dispone</w:t>
      </w:r>
      <w:r>
        <w:rPr>
          <w:rFonts w:ascii="Arial" w:hAnsi="Arial" w:cs="Arial"/>
          <w:szCs w:val="24"/>
        </w:rPr>
        <w:t xml:space="preserve"> </w:t>
      </w:r>
      <w:r>
        <w:rPr>
          <w:rFonts w:ascii="Arial" w:hAnsi="Arial" w:cs="Arial"/>
          <w:b w:val="0"/>
          <w:bCs/>
          <w:color w:val="auto"/>
          <w:szCs w:val="24"/>
          <w:lang w:val="es-MX"/>
        </w:rPr>
        <w:t>como documentación obligatoria a presentar por el oferente, entre otros: para el caso que el oferente sea persona jurídica, certificación notarial que lo acredite, póliza del contrato del seguro de accidentes de trabajo y enfermedades profesionales con el B.S.E. y recibo original de compra de Pliego a nombre del oferente;</w:t>
      </w:r>
      <w:r>
        <w:rPr>
          <w:rFonts w:cs="Arial"/>
          <w:b w:val="0"/>
          <w:iCs/>
          <w:lang w:val="es-MX"/>
        </w:rPr>
        <w:t xml:space="preserve"> </w:t>
      </w:r>
    </w:p>
    <w:p w:rsidR="006B3290" w:rsidRDefault="006B3290" w:rsidP="00C32A84">
      <w:pPr>
        <w:spacing w:line="360" w:lineRule="auto"/>
        <w:ind w:firstLine="2694"/>
        <w:jc w:val="both"/>
        <w:rPr>
          <w:rFonts w:ascii="Arial" w:hAnsi="Arial" w:cs="Arial"/>
          <w:b w:val="0"/>
          <w:bCs/>
          <w:color w:val="auto"/>
          <w:szCs w:val="24"/>
          <w:lang w:val="es-MX"/>
        </w:rPr>
      </w:pPr>
      <w:r>
        <w:rPr>
          <w:rFonts w:ascii="Arial" w:hAnsi="Arial" w:cs="Arial"/>
          <w:szCs w:val="24"/>
        </w:rPr>
        <w:t>2)</w:t>
      </w:r>
      <w:r>
        <w:rPr>
          <w:rFonts w:ascii="Arial" w:hAnsi="Arial" w:cs="Arial"/>
          <w:b w:val="0"/>
          <w:szCs w:val="24"/>
        </w:rPr>
        <w:t xml:space="preserve"> </w:t>
      </w:r>
      <w:r>
        <w:rPr>
          <w:rFonts w:ascii="Arial" w:hAnsi="Arial" w:cs="Arial"/>
          <w:b w:val="0"/>
          <w:bCs/>
          <w:szCs w:val="24"/>
        </w:rPr>
        <w:t>que en la Memoria Descriptiva se</w:t>
      </w:r>
      <w:r>
        <w:rPr>
          <w:rFonts w:ascii="Arial" w:hAnsi="Arial" w:cs="Arial"/>
          <w:b w:val="0"/>
          <w:szCs w:val="24"/>
        </w:rPr>
        <w:t xml:space="preserve"> establecen los factores que se tendrán en cuenta para evaluar las ofertas, así como la ponde</w:t>
      </w:r>
      <w:r w:rsidR="004E2A4C">
        <w:rPr>
          <w:rFonts w:ascii="Arial" w:hAnsi="Arial" w:cs="Arial"/>
          <w:b w:val="0"/>
          <w:szCs w:val="24"/>
        </w:rPr>
        <w:t>ración máxima de cada uno</w:t>
      </w:r>
      <w:r>
        <w:rPr>
          <w:rFonts w:ascii="Arial" w:hAnsi="Arial" w:cs="Arial"/>
          <w:b w:val="0"/>
          <w:szCs w:val="24"/>
        </w:rPr>
        <w:t xml:space="preserve">;  </w:t>
      </w:r>
    </w:p>
    <w:p w:rsidR="006B3290" w:rsidRDefault="004E2A4C" w:rsidP="00C32A84">
      <w:pPr>
        <w:spacing w:line="360" w:lineRule="auto"/>
        <w:ind w:firstLine="2694"/>
        <w:jc w:val="both"/>
        <w:rPr>
          <w:rFonts w:ascii="Arial" w:hAnsi="Arial" w:cs="Arial"/>
          <w:color w:val="auto"/>
          <w:szCs w:val="24"/>
          <w:lang w:val="es-MX"/>
        </w:rPr>
      </w:pPr>
      <w:r>
        <w:rPr>
          <w:rFonts w:ascii="Arial" w:hAnsi="Arial" w:cs="Arial"/>
          <w:bCs/>
          <w:color w:val="auto"/>
          <w:szCs w:val="24"/>
          <w:lang w:val="es-MX"/>
        </w:rPr>
        <w:t>3</w:t>
      </w:r>
      <w:r w:rsidR="006B3290">
        <w:rPr>
          <w:rFonts w:ascii="Arial" w:hAnsi="Arial" w:cs="Arial"/>
          <w:bCs/>
          <w:color w:val="auto"/>
          <w:szCs w:val="24"/>
          <w:lang w:val="es-MX"/>
        </w:rPr>
        <w:t xml:space="preserve">) </w:t>
      </w:r>
      <w:r w:rsidR="006B3290">
        <w:rPr>
          <w:rFonts w:ascii="Arial" w:hAnsi="Arial" w:cs="Arial"/>
          <w:b w:val="0"/>
          <w:bCs/>
          <w:color w:val="auto"/>
          <w:szCs w:val="24"/>
          <w:lang w:val="es-MX"/>
        </w:rPr>
        <w:t>que se efectuó la publicación en la página web de Compras y Contrataciones Estatales con fecha 06</w:t>
      </w:r>
      <w:r w:rsidR="006B3290">
        <w:rPr>
          <w:rFonts w:ascii="Arial" w:hAnsi="Arial" w:cs="Arial"/>
          <w:b w:val="0"/>
          <w:szCs w:val="24"/>
        </w:rPr>
        <w:t>/08/2013</w:t>
      </w:r>
      <w:r w:rsidR="006B3290">
        <w:rPr>
          <w:rFonts w:ascii="Arial" w:hAnsi="Arial" w:cs="Arial"/>
          <w:b w:val="0"/>
          <w:bCs/>
          <w:color w:val="auto"/>
          <w:szCs w:val="24"/>
          <w:lang w:val="es-MX"/>
        </w:rPr>
        <w:t xml:space="preserve"> y en el Diario Oficial con fecha 05/08/2013;</w:t>
      </w:r>
    </w:p>
    <w:p w:rsidR="00C32A84" w:rsidRDefault="004E2A4C" w:rsidP="00C32A84">
      <w:pPr>
        <w:pStyle w:val="Textoindependiente2"/>
        <w:ind w:firstLine="2694"/>
        <w:rPr>
          <w:bCs w:val="0"/>
          <w:color w:val="auto"/>
          <w:szCs w:val="24"/>
          <w:lang w:val="es-MX"/>
        </w:rPr>
      </w:pPr>
      <w:r>
        <w:rPr>
          <w:b/>
          <w:color w:val="auto"/>
          <w:szCs w:val="24"/>
          <w:lang w:val="es-MX"/>
        </w:rPr>
        <w:t>4</w:t>
      </w:r>
      <w:r w:rsidR="006B3290">
        <w:rPr>
          <w:b/>
          <w:bCs w:val="0"/>
          <w:color w:val="auto"/>
          <w:szCs w:val="24"/>
          <w:lang w:val="es-MX"/>
        </w:rPr>
        <w:t xml:space="preserve">) </w:t>
      </w:r>
      <w:r w:rsidR="006B3290">
        <w:rPr>
          <w:bCs w:val="0"/>
          <w:color w:val="auto"/>
          <w:szCs w:val="24"/>
          <w:lang w:val="es-MX"/>
        </w:rPr>
        <w:t>que al acto de apertura efectuado el día 03/09/13 se presentaron16 oferentes:</w:t>
      </w:r>
    </w:p>
    <w:p w:rsidR="006B3290" w:rsidRDefault="006B3290" w:rsidP="00C32A84">
      <w:pPr>
        <w:pStyle w:val="Textoindependiente2"/>
        <w:ind w:left="426" w:hanging="426"/>
        <w:rPr>
          <w:szCs w:val="24"/>
        </w:rPr>
      </w:pPr>
      <w:r w:rsidRPr="00C32A84">
        <w:rPr>
          <w:b/>
          <w:szCs w:val="24"/>
        </w:rPr>
        <w:t>3.1)</w:t>
      </w:r>
      <w:r>
        <w:rPr>
          <w:szCs w:val="24"/>
        </w:rPr>
        <w:t xml:space="preserve"> </w:t>
      </w:r>
      <w:proofErr w:type="spellStart"/>
      <w:r>
        <w:rPr>
          <w:szCs w:val="24"/>
        </w:rPr>
        <w:t>Garimport</w:t>
      </w:r>
      <w:proofErr w:type="spellEnd"/>
      <w:r>
        <w:rPr>
          <w:szCs w:val="24"/>
        </w:rPr>
        <w:t xml:space="preserve"> </w:t>
      </w:r>
      <w:proofErr w:type="spellStart"/>
      <w:r>
        <w:rPr>
          <w:szCs w:val="24"/>
        </w:rPr>
        <w:t>Ltda</w:t>
      </w:r>
      <w:proofErr w:type="spellEnd"/>
      <w:r>
        <w:rPr>
          <w:szCs w:val="24"/>
        </w:rPr>
        <w:t xml:space="preserve"> – Cotizó los ítems 2, 4, 5, 8 al 13, 43, 44 y 46 por un total de U$S 133.520,46 I.V.A. incluido.</w:t>
      </w:r>
    </w:p>
    <w:p w:rsidR="006B3290" w:rsidRDefault="006B3290" w:rsidP="00C32A84">
      <w:pPr>
        <w:pStyle w:val="Textoindependiente2"/>
        <w:ind w:left="426" w:hanging="426"/>
        <w:rPr>
          <w:szCs w:val="24"/>
        </w:rPr>
      </w:pPr>
      <w:r w:rsidRPr="00C32A84">
        <w:rPr>
          <w:b/>
          <w:szCs w:val="24"/>
        </w:rPr>
        <w:t>3.2)</w:t>
      </w:r>
      <w:r>
        <w:rPr>
          <w:szCs w:val="24"/>
        </w:rPr>
        <w:t xml:space="preserve"> Tienda Riviera S.A. – Cotizó todos los ítems, excepto 59 y 61, por un precio total de $ 10:630.337 I.V.A. incluido. </w:t>
      </w:r>
    </w:p>
    <w:p w:rsidR="006B3290" w:rsidRDefault="006B3290" w:rsidP="00C32A84">
      <w:pPr>
        <w:pStyle w:val="Textoindependiente2"/>
        <w:ind w:left="426" w:hanging="426"/>
        <w:rPr>
          <w:szCs w:val="24"/>
        </w:rPr>
      </w:pPr>
      <w:r w:rsidRPr="00C32A84">
        <w:rPr>
          <w:b/>
          <w:szCs w:val="24"/>
        </w:rPr>
        <w:t>3.3)</w:t>
      </w:r>
      <w:r>
        <w:rPr>
          <w:szCs w:val="24"/>
        </w:rPr>
        <w:t xml:space="preserve"> </w:t>
      </w:r>
      <w:proofErr w:type="spellStart"/>
      <w:r>
        <w:rPr>
          <w:szCs w:val="24"/>
        </w:rPr>
        <w:t>Medeltar</w:t>
      </w:r>
      <w:proofErr w:type="spellEnd"/>
      <w:r>
        <w:rPr>
          <w:szCs w:val="24"/>
        </w:rPr>
        <w:t xml:space="preserve"> S.A. - Cotizó todos los ítems, excepto 10, 22 al 37, 39, 40, 42 y 49, por un precio total de $ 11:643.898 I.V.A. incluido, ofrece descuento pago contado de un 3%.</w:t>
      </w:r>
    </w:p>
    <w:p w:rsidR="006B3290" w:rsidRDefault="006B3290" w:rsidP="00C32A84">
      <w:pPr>
        <w:pStyle w:val="Textoindependiente2"/>
        <w:ind w:left="426" w:hanging="426"/>
        <w:rPr>
          <w:szCs w:val="24"/>
        </w:rPr>
      </w:pPr>
      <w:r w:rsidRPr="00C32A84">
        <w:rPr>
          <w:b/>
          <w:szCs w:val="24"/>
        </w:rPr>
        <w:lastRenderedPageBreak/>
        <w:t>3.4)</w:t>
      </w:r>
      <w:r>
        <w:rPr>
          <w:szCs w:val="24"/>
        </w:rPr>
        <w:t xml:space="preserve"> </w:t>
      </w:r>
      <w:proofErr w:type="spellStart"/>
      <w:r>
        <w:rPr>
          <w:szCs w:val="24"/>
        </w:rPr>
        <w:t>Metynnor</w:t>
      </w:r>
      <w:proofErr w:type="spellEnd"/>
      <w:r>
        <w:rPr>
          <w:szCs w:val="24"/>
        </w:rPr>
        <w:t xml:space="preserve"> </w:t>
      </w:r>
      <w:proofErr w:type="spellStart"/>
      <w:r>
        <w:rPr>
          <w:szCs w:val="24"/>
        </w:rPr>
        <w:t>Ltda</w:t>
      </w:r>
      <w:proofErr w:type="spellEnd"/>
      <w:r>
        <w:rPr>
          <w:szCs w:val="24"/>
        </w:rPr>
        <w:t xml:space="preserve"> - Cotizó los ítems, 4, 5, 6, 13, 15, 16, 17, 20 al 37, 39, 40, 45 y 46 por un precio total de $ 8:238.080 I.V.A. incluido.</w:t>
      </w:r>
    </w:p>
    <w:p w:rsidR="006B3290" w:rsidRDefault="006B3290" w:rsidP="00C32A84">
      <w:pPr>
        <w:pStyle w:val="Textoindependiente2"/>
        <w:ind w:left="426" w:hanging="426"/>
        <w:rPr>
          <w:szCs w:val="24"/>
        </w:rPr>
      </w:pPr>
      <w:r w:rsidRPr="00C32A84">
        <w:rPr>
          <w:b/>
          <w:szCs w:val="24"/>
        </w:rPr>
        <w:t>3.5)</w:t>
      </w:r>
      <w:r>
        <w:rPr>
          <w:szCs w:val="24"/>
        </w:rPr>
        <w:t xml:space="preserve"> Marinas S.A. - Cotizó los ítems, 9 a 14, 19, 43, 44, 46 y 61  por un precio total de U$S 146.751,48 I.V.A. incluido, ofrece un descuento de un 5 %.</w:t>
      </w:r>
    </w:p>
    <w:p w:rsidR="006B3290" w:rsidRDefault="006B3290" w:rsidP="00C32A84">
      <w:pPr>
        <w:pStyle w:val="Textoindependiente2"/>
        <w:ind w:left="426" w:hanging="426"/>
        <w:rPr>
          <w:szCs w:val="24"/>
        </w:rPr>
      </w:pPr>
      <w:r w:rsidRPr="00C32A84">
        <w:rPr>
          <w:b/>
          <w:szCs w:val="24"/>
        </w:rPr>
        <w:t>3.6)</w:t>
      </w:r>
      <w:r>
        <w:rPr>
          <w:szCs w:val="24"/>
        </w:rPr>
        <w:t xml:space="preserve"> </w:t>
      </w:r>
      <w:proofErr w:type="spellStart"/>
      <w:r>
        <w:rPr>
          <w:szCs w:val="24"/>
        </w:rPr>
        <w:t>Lancer</w:t>
      </w:r>
      <w:proofErr w:type="spellEnd"/>
      <w:r>
        <w:rPr>
          <w:szCs w:val="24"/>
        </w:rPr>
        <w:t xml:space="preserve"> S.A. - Cotizó todos los ítems, excepto 10, 11, 20 a 23, 30, 33, 34, 39, 40, 42, 44, 45, 47, 61 y 69, por un precio total de $ 7:980.425 I.V.A. incluido.</w:t>
      </w:r>
    </w:p>
    <w:p w:rsidR="006B3290" w:rsidRDefault="006B3290" w:rsidP="00C32A84">
      <w:pPr>
        <w:pStyle w:val="Textoindependiente2"/>
        <w:ind w:left="426" w:hanging="426"/>
        <w:rPr>
          <w:szCs w:val="24"/>
        </w:rPr>
      </w:pPr>
      <w:r w:rsidRPr="00C32A84">
        <w:rPr>
          <w:b/>
          <w:szCs w:val="24"/>
        </w:rPr>
        <w:t>3.7)</w:t>
      </w:r>
      <w:r>
        <w:rPr>
          <w:szCs w:val="24"/>
        </w:rPr>
        <w:t xml:space="preserve"> </w:t>
      </w:r>
      <w:proofErr w:type="spellStart"/>
      <w:r>
        <w:rPr>
          <w:szCs w:val="24"/>
        </w:rPr>
        <w:t>Confir</w:t>
      </w:r>
      <w:proofErr w:type="spellEnd"/>
      <w:r>
        <w:rPr>
          <w:szCs w:val="24"/>
        </w:rPr>
        <w:t xml:space="preserve"> - Cotizó todos los ítems, estableciendo los precios unitarios en dólares. </w:t>
      </w:r>
    </w:p>
    <w:p w:rsidR="006B3290" w:rsidRDefault="006B3290" w:rsidP="00C32A84">
      <w:pPr>
        <w:pStyle w:val="Textoindependiente2"/>
        <w:ind w:left="426" w:hanging="426"/>
        <w:rPr>
          <w:szCs w:val="24"/>
        </w:rPr>
      </w:pPr>
      <w:r w:rsidRPr="00C32A84">
        <w:rPr>
          <w:b/>
          <w:szCs w:val="24"/>
        </w:rPr>
        <w:t>3.8)</w:t>
      </w:r>
      <w:r>
        <w:rPr>
          <w:szCs w:val="24"/>
        </w:rPr>
        <w:t xml:space="preserve"> </w:t>
      </w:r>
      <w:proofErr w:type="spellStart"/>
      <w:r>
        <w:rPr>
          <w:szCs w:val="24"/>
        </w:rPr>
        <w:t>Nelostar</w:t>
      </w:r>
      <w:proofErr w:type="spellEnd"/>
      <w:r>
        <w:rPr>
          <w:szCs w:val="24"/>
        </w:rPr>
        <w:t xml:space="preserve"> S.A. - Cotizó todos los ítems, excepto 9 a 13, 18, 19, 38 al 44, 47, 48, 50 a 61, 64 y 65 estableciendo los precios unitarios en pesos.</w:t>
      </w:r>
    </w:p>
    <w:p w:rsidR="006B3290" w:rsidRDefault="006B3290" w:rsidP="009169F3">
      <w:pPr>
        <w:pStyle w:val="Textoindependiente2"/>
        <w:ind w:left="426" w:hanging="426"/>
        <w:rPr>
          <w:szCs w:val="24"/>
        </w:rPr>
      </w:pPr>
      <w:r w:rsidRPr="009169F3">
        <w:rPr>
          <w:b/>
          <w:szCs w:val="24"/>
        </w:rPr>
        <w:t>3.9)</w:t>
      </w:r>
      <w:r>
        <w:rPr>
          <w:szCs w:val="24"/>
        </w:rPr>
        <w:t xml:space="preserve"> </w:t>
      </w:r>
      <w:proofErr w:type="spellStart"/>
      <w:r>
        <w:rPr>
          <w:szCs w:val="24"/>
        </w:rPr>
        <w:t>Montibel</w:t>
      </w:r>
      <w:proofErr w:type="spellEnd"/>
      <w:r>
        <w:rPr>
          <w:szCs w:val="24"/>
        </w:rPr>
        <w:t xml:space="preserve"> S.A. - Cotizó todos los ítems, excepto 11,12, 20 a 43, 45 a 69 estableciendo los precios unitarios en pesos.</w:t>
      </w:r>
    </w:p>
    <w:p w:rsidR="006B3290" w:rsidRDefault="006B3290">
      <w:pPr>
        <w:pStyle w:val="Textoindependiente2"/>
        <w:rPr>
          <w:szCs w:val="24"/>
        </w:rPr>
      </w:pPr>
      <w:r w:rsidRPr="009169F3">
        <w:rPr>
          <w:b/>
          <w:szCs w:val="24"/>
        </w:rPr>
        <w:t>3.10)</w:t>
      </w:r>
      <w:r>
        <w:rPr>
          <w:szCs w:val="24"/>
        </w:rPr>
        <w:t xml:space="preserve"> Glauca S.A. – Cotizó los ítems 20 a36 a un precio total de $ 4:306.310.-</w:t>
      </w:r>
    </w:p>
    <w:p w:rsidR="006B3290" w:rsidRDefault="006B3290" w:rsidP="009169F3">
      <w:pPr>
        <w:pStyle w:val="Textoindependiente2"/>
        <w:ind w:left="426" w:hanging="426"/>
        <w:rPr>
          <w:szCs w:val="24"/>
        </w:rPr>
      </w:pPr>
      <w:r w:rsidRPr="009169F3">
        <w:rPr>
          <w:b/>
          <w:szCs w:val="24"/>
        </w:rPr>
        <w:t>3.11)</w:t>
      </w:r>
      <w:r>
        <w:rPr>
          <w:szCs w:val="24"/>
        </w:rPr>
        <w:t xml:space="preserve"> </w:t>
      </w:r>
      <w:proofErr w:type="spellStart"/>
      <w:r>
        <w:rPr>
          <w:szCs w:val="24"/>
        </w:rPr>
        <w:t>Famet</w:t>
      </w:r>
      <w:proofErr w:type="spellEnd"/>
      <w:r>
        <w:rPr>
          <w:szCs w:val="24"/>
        </w:rPr>
        <w:t xml:space="preserve"> </w:t>
      </w:r>
      <w:proofErr w:type="spellStart"/>
      <w:r>
        <w:rPr>
          <w:szCs w:val="24"/>
        </w:rPr>
        <w:t>Ltda</w:t>
      </w:r>
      <w:proofErr w:type="spellEnd"/>
      <w:r>
        <w:rPr>
          <w:szCs w:val="24"/>
        </w:rPr>
        <w:t xml:space="preserve"> - Cotizó los ítems, 3, 7, 8, 16, 17, 19 y 46 estableciendo los precios unitarios en pesos.</w:t>
      </w:r>
    </w:p>
    <w:p w:rsidR="006B3290" w:rsidRDefault="006B3290" w:rsidP="009169F3">
      <w:pPr>
        <w:pStyle w:val="Textoindependiente2"/>
        <w:ind w:left="426" w:hanging="426"/>
        <w:rPr>
          <w:szCs w:val="24"/>
        </w:rPr>
      </w:pPr>
      <w:r w:rsidRPr="009169F3">
        <w:rPr>
          <w:b/>
          <w:szCs w:val="24"/>
        </w:rPr>
        <w:t>3.12)</w:t>
      </w:r>
      <w:r>
        <w:rPr>
          <w:szCs w:val="24"/>
        </w:rPr>
        <w:t xml:space="preserve"> </w:t>
      </w:r>
      <w:proofErr w:type="spellStart"/>
      <w:r>
        <w:rPr>
          <w:szCs w:val="24"/>
        </w:rPr>
        <w:t>Italba</w:t>
      </w:r>
      <w:proofErr w:type="spellEnd"/>
      <w:r>
        <w:rPr>
          <w:szCs w:val="24"/>
        </w:rPr>
        <w:t xml:space="preserve"> S.A. - Cotizó los ítems, 2, 3, 9, 10 a 16, 38, 41, 43, 44, 59, 60 y 61  por un precio total de $ 5:387.032 I.V.A. incluido.</w:t>
      </w:r>
    </w:p>
    <w:p w:rsidR="006B3290" w:rsidRDefault="006B3290" w:rsidP="009169F3">
      <w:pPr>
        <w:pStyle w:val="Textoindependiente2"/>
        <w:ind w:left="426" w:hanging="426"/>
        <w:rPr>
          <w:szCs w:val="24"/>
        </w:rPr>
      </w:pPr>
      <w:r w:rsidRPr="009169F3">
        <w:rPr>
          <w:b/>
          <w:szCs w:val="24"/>
        </w:rPr>
        <w:t>3.13)</w:t>
      </w:r>
      <w:r>
        <w:rPr>
          <w:szCs w:val="24"/>
        </w:rPr>
        <w:t xml:space="preserve"> </w:t>
      </w:r>
      <w:proofErr w:type="spellStart"/>
      <w:r>
        <w:rPr>
          <w:szCs w:val="24"/>
        </w:rPr>
        <w:t>Umiral</w:t>
      </w:r>
      <w:proofErr w:type="spellEnd"/>
      <w:r>
        <w:rPr>
          <w:szCs w:val="24"/>
        </w:rPr>
        <w:t xml:space="preserve"> S.A. - Cotizó los ítems, 16, 50 a 57, 62 a 69  por un precio total de $ 724.415,76 I.V.A. incluido.</w:t>
      </w:r>
    </w:p>
    <w:p w:rsidR="006B3290" w:rsidRDefault="006B3290" w:rsidP="009169F3">
      <w:pPr>
        <w:pStyle w:val="Textoindependiente2"/>
        <w:ind w:left="426" w:hanging="426"/>
        <w:rPr>
          <w:szCs w:val="24"/>
        </w:rPr>
      </w:pPr>
      <w:r w:rsidRPr="009169F3">
        <w:rPr>
          <w:b/>
          <w:szCs w:val="24"/>
        </w:rPr>
        <w:t>3.14)</w:t>
      </w:r>
      <w:r>
        <w:rPr>
          <w:szCs w:val="24"/>
        </w:rPr>
        <w:t xml:space="preserve"> Fiorella y </w:t>
      </w:r>
      <w:proofErr w:type="spellStart"/>
      <w:r>
        <w:rPr>
          <w:szCs w:val="24"/>
        </w:rPr>
        <w:t>Cia</w:t>
      </w:r>
      <w:proofErr w:type="spellEnd"/>
      <w:r>
        <w:rPr>
          <w:szCs w:val="24"/>
        </w:rPr>
        <w:t xml:space="preserve"> Sociedad Colectiva - Cotizó los ítems, 2, 3, 7, 8, 14 a 17, 20 a 36, 45, 46 y 49 estableciendo los precios unitarios en pesos.</w:t>
      </w:r>
    </w:p>
    <w:p w:rsidR="006B3290" w:rsidRDefault="006B3290" w:rsidP="009169F3">
      <w:pPr>
        <w:pStyle w:val="Textoindependiente2"/>
        <w:ind w:left="426" w:hanging="426"/>
        <w:rPr>
          <w:szCs w:val="24"/>
        </w:rPr>
      </w:pPr>
      <w:r w:rsidRPr="009169F3">
        <w:rPr>
          <w:b/>
          <w:szCs w:val="24"/>
        </w:rPr>
        <w:t>3.15)</w:t>
      </w:r>
      <w:r>
        <w:rPr>
          <w:szCs w:val="24"/>
        </w:rPr>
        <w:t xml:space="preserve"> </w:t>
      </w:r>
      <w:proofErr w:type="spellStart"/>
      <w:r>
        <w:rPr>
          <w:szCs w:val="24"/>
        </w:rPr>
        <w:t>Timaco</w:t>
      </w:r>
      <w:proofErr w:type="spellEnd"/>
      <w:r>
        <w:rPr>
          <w:szCs w:val="24"/>
        </w:rPr>
        <w:t xml:space="preserve"> S.A. - Cotizó los ítems, 2 a 8, 14 a 19 y 27  por un precio total de $ 2:711.267 I.V.A. incluido.</w:t>
      </w:r>
    </w:p>
    <w:p w:rsidR="006B3290" w:rsidRDefault="006B3290" w:rsidP="009169F3">
      <w:pPr>
        <w:pStyle w:val="Textoindependiente2"/>
        <w:ind w:left="426" w:hanging="426"/>
        <w:rPr>
          <w:bCs w:val="0"/>
          <w:color w:val="auto"/>
          <w:szCs w:val="24"/>
        </w:rPr>
      </w:pPr>
      <w:r w:rsidRPr="009169F3">
        <w:rPr>
          <w:b/>
          <w:szCs w:val="24"/>
        </w:rPr>
        <w:t>3.16)</w:t>
      </w:r>
      <w:r>
        <w:rPr>
          <w:szCs w:val="24"/>
        </w:rPr>
        <w:t xml:space="preserve"> Adriana Raquel </w:t>
      </w:r>
      <w:proofErr w:type="spellStart"/>
      <w:r>
        <w:rPr>
          <w:szCs w:val="24"/>
        </w:rPr>
        <w:t>Alpuy</w:t>
      </w:r>
      <w:proofErr w:type="spellEnd"/>
      <w:r>
        <w:rPr>
          <w:szCs w:val="24"/>
        </w:rPr>
        <w:t xml:space="preserve"> González (Imagen)  - Cotizó los ítems, 20 a 37, 48 y 50 a 69  por un precio total de $ 9:269.112,24 I.V.A. incluido;</w:t>
      </w:r>
    </w:p>
    <w:p w:rsidR="006B3290" w:rsidRDefault="004E2A4C" w:rsidP="009169F3">
      <w:pPr>
        <w:pStyle w:val="Textoindependiente2"/>
        <w:ind w:firstLine="2694"/>
        <w:rPr>
          <w:bCs w:val="0"/>
          <w:szCs w:val="24"/>
        </w:rPr>
      </w:pPr>
      <w:r>
        <w:rPr>
          <w:b/>
          <w:bCs w:val="0"/>
          <w:color w:val="auto"/>
          <w:szCs w:val="24"/>
          <w:lang w:val="es-MX"/>
        </w:rPr>
        <w:t>5</w:t>
      </w:r>
      <w:r w:rsidR="006B3290">
        <w:rPr>
          <w:b/>
          <w:color w:val="auto"/>
          <w:szCs w:val="24"/>
          <w:lang w:val="es-MX"/>
        </w:rPr>
        <w:t>)</w:t>
      </w:r>
      <w:r w:rsidR="006B3290">
        <w:rPr>
          <w:color w:val="auto"/>
          <w:szCs w:val="24"/>
          <w:lang w:val="es-MX"/>
        </w:rPr>
        <w:t xml:space="preserve"> que previo informe técnico, la Comisión Asesora de Adjud</w:t>
      </w:r>
      <w:r w:rsidR="006B3290">
        <w:rPr>
          <w:bCs w:val="0"/>
          <w:color w:val="auto"/>
          <w:szCs w:val="24"/>
          <w:lang w:val="es-MX"/>
        </w:rPr>
        <w:t>icaciones c</w:t>
      </w:r>
      <w:proofErr w:type="spellStart"/>
      <w:r w:rsidR="006B3290">
        <w:rPr>
          <w:bCs w:val="0"/>
          <w:szCs w:val="24"/>
        </w:rPr>
        <w:t>on</w:t>
      </w:r>
      <w:proofErr w:type="spellEnd"/>
      <w:r w:rsidR="006B3290">
        <w:rPr>
          <w:bCs w:val="0"/>
          <w:szCs w:val="24"/>
        </w:rPr>
        <w:t xml:space="preserve"> fecha 29/10/13 emite dictamen, informando que las ofertas de las firmas </w:t>
      </w:r>
      <w:proofErr w:type="spellStart"/>
      <w:r w:rsidR="006B3290">
        <w:rPr>
          <w:bCs w:val="0"/>
          <w:szCs w:val="24"/>
        </w:rPr>
        <w:t>Medeltar</w:t>
      </w:r>
      <w:proofErr w:type="spellEnd"/>
      <w:r w:rsidR="006B3290">
        <w:rPr>
          <w:bCs w:val="0"/>
          <w:szCs w:val="24"/>
        </w:rPr>
        <w:t xml:space="preserve"> S.A., </w:t>
      </w:r>
      <w:proofErr w:type="spellStart"/>
      <w:r w:rsidR="006B3290">
        <w:rPr>
          <w:bCs w:val="0"/>
          <w:szCs w:val="24"/>
        </w:rPr>
        <w:t>Umiral</w:t>
      </w:r>
      <w:proofErr w:type="spellEnd"/>
      <w:r w:rsidR="006B3290">
        <w:rPr>
          <w:bCs w:val="0"/>
          <w:szCs w:val="24"/>
        </w:rPr>
        <w:t xml:space="preserve"> S.A. y Fiorella y </w:t>
      </w:r>
      <w:proofErr w:type="spellStart"/>
      <w:r w:rsidR="006B3290">
        <w:rPr>
          <w:bCs w:val="0"/>
          <w:szCs w:val="24"/>
        </w:rPr>
        <w:t>Cía</w:t>
      </w:r>
      <w:proofErr w:type="spellEnd"/>
      <w:r w:rsidR="006B3290">
        <w:rPr>
          <w:bCs w:val="0"/>
          <w:szCs w:val="24"/>
        </w:rPr>
        <w:t xml:space="preserve"> son inadmisibles en </w:t>
      </w:r>
      <w:r w:rsidR="006B3290">
        <w:rPr>
          <w:bCs w:val="0"/>
          <w:szCs w:val="24"/>
        </w:rPr>
        <w:lastRenderedPageBreak/>
        <w:t xml:space="preserve">cuanto incumplen con lo dispuesto por el Art. 7º) del Pliego que estableció la constitución de domicilio en el Departamento de Maldonado, y que también deben ser rechazadas las ofertas de las firmas, </w:t>
      </w:r>
      <w:proofErr w:type="spellStart"/>
      <w:r w:rsidR="006B3290">
        <w:rPr>
          <w:bCs w:val="0"/>
          <w:szCs w:val="24"/>
        </w:rPr>
        <w:t>Timaco</w:t>
      </w:r>
      <w:proofErr w:type="spellEnd"/>
      <w:r w:rsidR="006B3290">
        <w:rPr>
          <w:bCs w:val="0"/>
          <w:szCs w:val="24"/>
        </w:rPr>
        <w:t xml:space="preserve"> S.A. por no firmar la oferta ni el formulario de identificación del oferente como lo establece el Art. 13 del Pliego, y la oferta de la Sra. Adriana </w:t>
      </w:r>
      <w:proofErr w:type="spellStart"/>
      <w:r w:rsidR="006B3290">
        <w:rPr>
          <w:bCs w:val="0"/>
          <w:szCs w:val="24"/>
        </w:rPr>
        <w:t>Alpuy</w:t>
      </w:r>
      <w:proofErr w:type="spellEnd"/>
      <w:r w:rsidR="006B3290">
        <w:rPr>
          <w:bCs w:val="0"/>
          <w:szCs w:val="24"/>
        </w:rPr>
        <w:t xml:space="preserve"> (Imagen) que no presentó los recibos originales de compra de pliego y garantía de mantenimiento de oferta, y sugiere la adjudicación por precio - calidad, según el siguiente detalle: - </w:t>
      </w:r>
      <w:proofErr w:type="spellStart"/>
      <w:r w:rsidR="006B3290">
        <w:rPr>
          <w:bCs w:val="0"/>
          <w:szCs w:val="24"/>
        </w:rPr>
        <w:t>Garimport</w:t>
      </w:r>
      <w:proofErr w:type="spellEnd"/>
      <w:r w:rsidR="006B3290">
        <w:rPr>
          <w:bCs w:val="0"/>
          <w:szCs w:val="24"/>
        </w:rPr>
        <w:t xml:space="preserve"> </w:t>
      </w:r>
      <w:proofErr w:type="spellStart"/>
      <w:r w:rsidR="006B3290">
        <w:rPr>
          <w:bCs w:val="0"/>
          <w:szCs w:val="24"/>
        </w:rPr>
        <w:t>Ltda</w:t>
      </w:r>
      <w:proofErr w:type="spellEnd"/>
      <w:r w:rsidR="006B3290">
        <w:rPr>
          <w:bCs w:val="0"/>
          <w:szCs w:val="24"/>
        </w:rPr>
        <w:t xml:space="preserve"> ítems 12 y 13 por un total de U$S 9.015,80 impuestos incluidos, - Tienda Riviera S.A.  ítems 20 (</w:t>
      </w:r>
      <w:proofErr w:type="spellStart"/>
      <w:r w:rsidR="006B3290">
        <w:rPr>
          <w:bCs w:val="0"/>
          <w:szCs w:val="24"/>
        </w:rPr>
        <w:t>opc</w:t>
      </w:r>
      <w:proofErr w:type="spellEnd"/>
      <w:r w:rsidR="006B3290">
        <w:rPr>
          <w:bCs w:val="0"/>
          <w:szCs w:val="24"/>
        </w:rPr>
        <w:t>. c), 21 (</w:t>
      </w:r>
      <w:proofErr w:type="spellStart"/>
      <w:r w:rsidR="006B3290">
        <w:rPr>
          <w:bCs w:val="0"/>
          <w:szCs w:val="24"/>
        </w:rPr>
        <w:t>Opc</w:t>
      </w:r>
      <w:proofErr w:type="spellEnd"/>
      <w:r w:rsidR="006B3290">
        <w:rPr>
          <w:bCs w:val="0"/>
          <w:szCs w:val="24"/>
        </w:rPr>
        <w:t xml:space="preserve">. c), 22, 27, 33, 34, 37, 47 y 58  por un total de $ 2:304.390 impuestos incluidos, - </w:t>
      </w:r>
      <w:proofErr w:type="spellStart"/>
      <w:r w:rsidR="006B3290">
        <w:rPr>
          <w:bCs w:val="0"/>
          <w:szCs w:val="24"/>
        </w:rPr>
        <w:t>Metynnor</w:t>
      </w:r>
      <w:proofErr w:type="spellEnd"/>
      <w:r w:rsidR="006B3290">
        <w:rPr>
          <w:bCs w:val="0"/>
          <w:szCs w:val="24"/>
        </w:rPr>
        <w:t xml:space="preserve"> </w:t>
      </w:r>
      <w:proofErr w:type="spellStart"/>
      <w:r w:rsidR="006B3290">
        <w:rPr>
          <w:bCs w:val="0"/>
          <w:szCs w:val="24"/>
        </w:rPr>
        <w:t>Ltda</w:t>
      </w:r>
      <w:proofErr w:type="spellEnd"/>
      <w:r w:rsidR="006B3290">
        <w:rPr>
          <w:bCs w:val="0"/>
          <w:szCs w:val="24"/>
        </w:rPr>
        <w:t xml:space="preserve">  ítems 23 (</w:t>
      </w:r>
      <w:proofErr w:type="spellStart"/>
      <w:r w:rsidR="006B3290">
        <w:rPr>
          <w:bCs w:val="0"/>
          <w:szCs w:val="24"/>
        </w:rPr>
        <w:t>opc</w:t>
      </w:r>
      <w:proofErr w:type="spellEnd"/>
      <w:r w:rsidR="006B3290">
        <w:rPr>
          <w:bCs w:val="0"/>
          <w:szCs w:val="24"/>
        </w:rPr>
        <w:t>. 3), 25, 26, 29, 31 (</w:t>
      </w:r>
      <w:proofErr w:type="spellStart"/>
      <w:r w:rsidR="006B3290">
        <w:rPr>
          <w:bCs w:val="0"/>
          <w:szCs w:val="24"/>
        </w:rPr>
        <w:t>opc</w:t>
      </w:r>
      <w:proofErr w:type="spellEnd"/>
      <w:r w:rsidR="006B3290">
        <w:rPr>
          <w:bCs w:val="0"/>
          <w:szCs w:val="24"/>
        </w:rPr>
        <w:t>. 1), 35 (2 nacional), 36 (2 nacional), 39 (</w:t>
      </w:r>
      <w:proofErr w:type="spellStart"/>
      <w:r w:rsidR="006B3290">
        <w:rPr>
          <w:bCs w:val="0"/>
          <w:szCs w:val="24"/>
        </w:rPr>
        <w:t>opc</w:t>
      </w:r>
      <w:proofErr w:type="spellEnd"/>
      <w:r w:rsidR="006B3290">
        <w:rPr>
          <w:bCs w:val="0"/>
          <w:szCs w:val="24"/>
        </w:rPr>
        <w:t xml:space="preserve">. 3), 40 y 46  por un total de $ 3:145.180 impuestos incluidos, - Marinas S.A. ítems 11 y 61  por un total de U$S 10.373,66 impuestos incluidos, - </w:t>
      </w:r>
      <w:proofErr w:type="spellStart"/>
      <w:r w:rsidR="006B3290">
        <w:rPr>
          <w:bCs w:val="0"/>
          <w:szCs w:val="24"/>
        </w:rPr>
        <w:t>Lancer</w:t>
      </w:r>
      <w:proofErr w:type="spellEnd"/>
      <w:r w:rsidR="006B3290">
        <w:rPr>
          <w:bCs w:val="0"/>
          <w:szCs w:val="24"/>
        </w:rPr>
        <w:t xml:space="preserve"> </w:t>
      </w:r>
      <w:proofErr w:type="spellStart"/>
      <w:r w:rsidR="006B3290">
        <w:rPr>
          <w:bCs w:val="0"/>
          <w:szCs w:val="24"/>
        </w:rPr>
        <w:t>Ltda</w:t>
      </w:r>
      <w:proofErr w:type="spellEnd"/>
      <w:r w:rsidR="006B3290">
        <w:rPr>
          <w:bCs w:val="0"/>
          <w:szCs w:val="24"/>
        </w:rPr>
        <w:t xml:space="preserve"> ítems 1, 2 (</w:t>
      </w:r>
      <w:proofErr w:type="spellStart"/>
      <w:r w:rsidR="006B3290">
        <w:rPr>
          <w:bCs w:val="0"/>
          <w:szCs w:val="24"/>
        </w:rPr>
        <w:t>opc</w:t>
      </w:r>
      <w:proofErr w:type="spellEnd"/>
      <w:r w:rsidR="006B3290">
        <w:rPr>
          <w:bCs w:val="0"/>
          <w:szCs w:val="24"/>
        </w:rPr>
        <w:t>. a), 5 (</w:t>
      </w:r>
      <w:proofErr w:type="spellStart"/>
      <w:r w:rsidR="006B3290">
        <w:rPr>
          <w:bCs w:val="0"/>
          <w:szCs w:val="24"/>
        </w:rPr>
        <w:t>opc</w:t>
      </w:r>
      <w:proofErr w:type="spellEnd"/>
      <w:r w:rsidR="006B3290">
        <w:rPr>
          <w:bCs w:val="0"/>
          <w:szCs w:val="24"/>
        </w:rPr>
        <w:t>. b), 15, 18, 19, 24 (</w:t>
      </w:r>
      <w:proofErr w:type="spellStart"/>
      <w:r w:rsidR="006B3290">
        <w:rPr>
          <w:bCs w:val="0"/>
          <w:szCs w:val="24"/>
        </w:rPr>
        <w:t>opc</w:t>
      </w:r>
      <w:proofErr w:type="spellEnd"/>
      <w:r w:rsidR="006B3290">
        <w:rPr>
          <w:bCs w:val="0"/>
          <w:szCs w:val="24"/>
        </w:rPr>
        <w:t>. b), 28, 38 (</w:t>
      </w:r>
      <w:proofErr w:type="spellStart"/>
      <w:r w:rsidR="006B3290">
        <w:rPr>
          <w:bCs w:val="0"/>
          <w:szCs w:val="24"/>
        </w:rPr>
        <w:t>cant</w:t>
      </w:r>
      <w:proofErr w:type="spellEnd"/>
      <w:r w:rsidR="006B3290">
        <w:rPr>
          <w:bCs w:val="0"/>
          <w:szCs w:val="24"/>
        </w:rPr>
        <w:t xml:space="preserve">. 120 </w:t>
      </w:r>
      <w:proofErr w:type="spellStart"/>
      <w:r w:rsidR="006B3290">
        <w:rPr>
          <w:bCs w:val="0"/>
          <w:szCs w:val="24"/>
        </w:rPr>
        <w:t>opc</w:t>
      </w:r>
      <w:proofErr w:type="spellEnd"/>
      <w:r w:rsidR="006B3290">
        <w:rPr>
          <w:bCs w:val="0"/>
          <w:szCs w:val="24"/>
        </w:rPr>
        <w:t xml:space="preserve">. c), 48 al 57 y 60  por un total de $ 2:343.872 impuestos incluidos, - </w:t>
      </w:r>
      <w:proofErr w:type="spellStart"/>
      <w:r w:rsidR="006B3290">
        <w:rPr>
          <w:bCs w:val="0"/>
          <w:szCs w:val="24"/>
        </w:rPr>
        <w:t>Confir</w:t>
      </w:r>
      <w:proofErr w:type="spellEnd"/>
      <w:r w:rsidR="006B3290">
        <w:rPr>
          <w:bCs w:val="0"/>
          <w:szCs w:val="24"/>
        </w:rPr>
        <w:t xml:space="preserve"> (</w:t>
      </w:r>
      <w:proofErr w:type="spellStart"/>
      <w:r w:rsidR="006B3290">
        <w:rPr>
          <w:bCs w:val="0"/>
          <w:szCs w:val="24"/>
        </w:rPr>
        <w:t>Segumax</w:t>
      </w:r>
      <w:proofErr w:type="spellEnd"/>
      <w:r w:rsidR="006B3290">
        <w:rPr>
          <w:bCs w:val="0"/>
          <w:szCs w:val="24"/>
        </w:rPr>
        <w:t xml:space="preserve">) ítems 9 y 10  por un total de U$S 64.001,20 impuestos incluidos, - </w:t>
      </w:r>
      <w:proofErr w:type="spellStart"/>
      <w:r w:rsidR="006B3290">
        <w:rPr>
          <w:bCs w:val="0"/>
          <w:szCs w:val="24"/>
        </w:rPr>
        <w:t>Nelostar</w:t>
      </w:r>
      <w:proofErr w:type="spellEnd"/>
      <w:r w:rsidR="006B3290">
        <w:rPr>
          <w:bCs w:val="0"/>
          <w:szCs w:val="24"/>
        </w:rPr>
        <w:t xml:space="preserve"> S.A. ítems 62, 63, 66 al 69  por un total de $ 97.150 impuestos incluidos, - </w:t>
      </w:r>
      <w:proofErr w:type="spellStart"/>
      <w:r w:rsidR="006B3290">
        <w:rPr>
          <w:bCs w:val="0"/>
          <w:szCs w:val="24"/>
        </w:rPr>
        <w:t>Montibel</w:t>
      </w:r>
      <w:proofErr w:type="spellEnd"/>
      <w:r w:rsidR="006B3290">
        <w:rPr>
          <w:bCs w:val="0"/>
          <w:szCs w:val="24"/>
        </w:rPr>
        <w:t xml:space="preserve"> S.A. (</w:t>
      </w:r>
      <w:proofErr w:type="spellStart"/>
      <w:r w:rsidR="006B3290">
        <w:rPr>
          <w:bCs w:val="0"/>
          <w:szCs w:val="24"/>
        </w:rPr>
        <w:t>Orvent</w:t>
      </w:r>
      <w:proofErr w:type="spellEnd"/>
      <w:r w:rsidR="006B3290">
        <w:rPr>
          <w:bCs w:val="0"/>
          <w:szCs w:val="24"/>
        </w:rPr>
        <w:t>) ítems 4 (</w:t>
      </w:r>
      <w:proofErr w:type="spellStart"/>
      <w:r w:rsidR="006B3290">
        <w:rPr>
          <w:bCs w:val="0"/>
          <w:szCs w:val="24"/>
        </w:rPr>
        <w:t>opc</w:t>
      </w:r>
      <w:proofErr w:type="spellEnd"/>
      <w:r w:rsidR="006B3290">
        <w:rPr>
          <w:bCs w:val="0"/>
          <w:szCs w:val="24"/>
        </w:rPr>
        <w:t xml:space="preserve">. b), 6 y 14  por un total de $ 200.141 impuestos incluidos, - </w:t>
      </w:r>
      <w:proofErr w:type="spellStart"/>
      <w:r w:rsidR="006B3290">
        <w:rPr>
          <w:bCs w:val="0"/>
          <w:szCs w:val="24"/>
        </w:rPr>
        <w:t>Famet</w:t>
      </w:r>
      <w:proofErr w:type="spellEnd"/>
      <w:r w:rsidR="006B3290">
        <w:rPr>
          <w:bCs w:val="0"/>
          <w:szCs w:val="24"/>
        </w:rPr>
        <w:t xml:space="preserve"> </w:t>
      </w:r>
      <w:proofErr w:type="spellStart"/>
      <w:r w:rsidR="006B3290">
        <w:rPr>
          <w:bCs w:val="0"/>
          <w:szCs w:val="24"/>
        </w:rPr>
        <w:t>Ltda</w:t>
      </w:r>
      <w:proofErr w:type="spellEnd"/>
      <w:r w:rsidR="006B3290">
        <w:rPr>
          <w:bCs w:val="0"/>
          <w:szCs w:val="24"/>
        </w:rPr>
        <w:t xml:space="preserve"> (</w:t>
      </w:r>
      <w:proofErr w:type="spellStart"/>
      <w:r w:rsidR="006B3290">
        <w:rPr>
          <w:bCs w:val="0"/>
          <w:szCs w:val="24"/>
        </w:rPr>
        <w:t>Famet</w:t>
      </w:r>
      <w:proofErr w:type="spellEnd"/>
      <w:r w:rsidR="006B3290">
        <w:rPr>
          <w:bCs w:val="0"/>
          <w:szCs w:val="24"/>
        </w:rPr>
        <w:t xml:space="preserve">) ítems 3, 7, 8, 16 y 17 por un total de $ 709.300 impuestos incluidos, - </w:t>
      </w:r>
      <w:proofErr w:type="spellStart"/>
      <w:r w:rsidR="006B3290">
        <w:rPr>
          <w:bCs w:val="0"/>
          <w:szCs w:val="24"/>
        </w:rPr>
        <w:t>Italba</w:t>
      </w:r>
      <w:proofErr w:type="spellEnd"/>
      <w:r w:rsidR="006B3290">
        <w:rPr>
          <w:bCs w:val="0"/>
          <w:szCs w:val="24"/>
        </w:rPr>
        <w:t xml:space="preserve"> S.R.L. ítems 41, 43, 44 y 59  por un total de $ 1:646.390 impuestos incluidos;                             </w:t>
      </w:r>
    </w:p>
    <w:p w:rsidR="006B3290" w:rsidRDefault="004E2A4C" w:rsidP="009169F3">
      <w:pPr>
        <w:pStyle w:val="Ttulo"/>
        <w:ind w:firstLine="2694"/>
        <w:jc w:val="both"/>
        <w:rPr>
          <w:rFonts w:cs="Arial"/>
          <w:b w:val="0"/>
          <w:bCs/>
          <w:u w:val="none"/>
          <w:lang w:val="es-ES_tradnl"/>
        </w:rPr>
      </w:pPr>
      <w:r w:rsidRPr="00FE22AC">
        <w:rPr>
          <w:rFonts w:cs="Arial"/>
          <w:spacing w:val="26"/>
          <w:u w:val="none"/>
          <w:lang w:val="es-MX"/>
        </w:rPr>
        <w:t>6</w:t>
      </w:r>
      <w:r w:rsidR="006B3290" w:rsidRPr="00FE22AC">
        <w:rPr>
          <w:rFonts w:cs="Arial"/>
          <w:bCs/>
          <w:spacing w:val="26"/>
          <w:u w:val="none"/>
          <w:lang w:val="es-MX"/>
        </w:rPr>
        <w:t>)</w:t>
      </w:r>
      <w:r w:rsidR="006B3290" w:rsidRPr="00FE22AC">
        <w:rPr>
          <w:rFonts w:cs="Arial"/>
          <w:b w:val="0"/>
          <w:bCs/>
          <w:spacing w:val="26"/>
          <w:u w:val="none"/>
          <w:lang w:val="es-MX"/>
        </w:rPr>
        <w:t xml:space="preserve"> </w:t>
      </w:r>
      <w:r w:rsidR="006B3290" w:rsidRPr="00FE22AC">
        <w:rPr>
          <w:rFonts w:cs="Arial"/>
          <w:b w:val="0"/>
          <w:spacing w:val="26"/>
          <w:u w:val="none"/>
          <w:lang w:val="es-ES_tradnl"/>
        </w:rPr>
        <w:t>que el Intendente, mediante Resolución Nº</w:t>
      </w:r>
      <w:r w:rsidR="006B3290">
        <w:rPr>
          <w:rFonts w:cs="Arial"/>
          <w:b w:val="0"/>
          <w:u w:val="none"/>
          <w:lang w:val="es-ES_tradnl"/>
        </w:rPr>
        <w:t xml:space="preserve"> 09336/2013 de fecha 19/11/13, dispuso la adjudicación, ad referéndum de la intervención de este Tribunal, de conformidad con lo aconsejado por la Comisión Asesora;</w:t>
      </w:r>
    </w:p>
    <w:p w:rsidR="006B3290" w:rsidRDefault="004E2A4C" w:rsidP="00FE22AC">
      <w:pPr>
        <w:pStyle w:val="Textoindependiente2"/>
        <w:ind w:firstLine="2694"/>
        <w:rPr>
          <w:lang w:val="es-ES"/>
        </w:rPr>
      </w:pPr>
      <w:r>
        <w:rPr>
          <w:b/>
          <w:bCs w:val="0"/>
        </w:rPr>
        <w:t>7</w:t>
      </w:r>
      <w:r w:rsidR="006B3290">
        <w:rPr>
          <w:b/>
          <w:color w:val="auto"/>
          <w:szCs w:val="24"/>
          <w:lang w:val="es-MX"/>
        </w:rPr>
        <w:t>)</w:t>
      </w:r>
      <w:r w:rsidR="006B3290">
        <w:rPr>
          <w:bCs w:val="0"/>
          <w:color w:val="auto"/>
          <w:szCs w:val="24"/>
          <w:lang w:val="es-MX"/>
        </w:rPr>
        <w:t xml:space="preserve"> que</w:t>
      </w:r>
      <w:r w:rsidR="006B3290">
        <w:rPr>
          <w:lang w:val="es-ES"/>
        </w:rPr>
        <w:t xml:space="preserve"> se deja constancia que se realizaron imputaciones preventivas al Rubro 114442 – 10405 con disponibilidad </w:t>
      </w:r>
      <w:r w:rsidR="006B3290" w:rsidRPr="00FE22AC">
        <w:rPr>
          <w:spacing w:val="-16"/>
          <w:lang w:val="es-ES"/>
        </w:rPr>
        <w:t>presupuestal por los montos de $ 191.044,80, $ 219.817,86, $ 1:356.185,43, $</w:t>
      </w:r>
      <w:r w:rsidR="006B3290">
        <w:rPr>
          <w:lang w:val="es-ES"/>
        </w:rPr>
        <w:t xml:space="preserve"> 2:304.390, $ 3.145,80, $ 2:343.872, $ 97.150, $ 200.141, $ 709.300 y $ 1:646.390;    </w:t>
      </w:r>
    </w:p>
    <w:p w:rsidR="006B3290" w:rsidRDefault="006B3290">
      <w:pPr>
        <w:spacing w:line="360" w:lineRule="auto"/>
        <w:jc w:val="both"/>
        <w:rPr>
          <w:rFonts w:ascii="Arial" w:hAnsi="Arial" w:cs="Arial"/>
          <w:spacing w:val="-3"/>
          <w:szCs w:val="24"/>
          <w:lang w:val="es-ES_tradnl"/>
        </w:rPr>
      </w:pPr>
      <w:r>
        <w:rPr>
          <w:rFonts w:ascii="Arial" w:hAnsi="Arial" w:cs="Arial"/>
          <w:spacing w:val="-3"/>
          <w:szCs w:val="24"/>
          <w:lang w:val="es-ES_tradnl"/>
        </w:rPr>
        <w:lastRenderedPageBreak/>
        <w:tab/>
      </w:r>
      <w:r>
        <w:rPr>
          <w:rFonts w:ascii="Arial" w:hAnsi="Arial" w:cs="Arial"/>
          <w:spacing w:val="-3"/>
          <w:szCs w:val="24"/>
          <w:lang w:val="es-ES_tradnl"/>
        </w:rPr>
        <w:tab/>
      </w:r>
    </w:p>
    <w:p w:rsidR="006B3290" w:rsidRDefault="006B3290" w:rsidP="00FE22AC">
      <w:pPr>
        <w:spacing w:line="360" w:lineRule="auto"/>
        <w:ind w:firstLine="708"/>
        <w:jc w:val="both"/>
        <w:rPr>
          <w:rFonts w:ascii="Arial" w:hAnsi="Arial" w:cs="Arial"/>
          <w:b w:val="0"/>
        </w:rPr>
      </w:pPr>
      <w:r>
        <w:rPr>
          <w:rFonts w:ascii="Arial" w:hAnsi="Arial" w:cs="Arial"/>
          <w:bCs/>
        </w:rPr>
        <w:t xml:space="preserve">CONSIDERANDO: </w:t>
      </w:r>
      <w:r>
        <w:rPr>
          <w:rFonts w:ascii="Arial" w:hAnsi="Arial" w:cs="Arial"/>
        </w:rPr>
        <w:t>1)</w:t>
      </w:r>
      <w:r>
        <w:rPr>
          <w:rFonts w:ascii="Arial" w:hAnsi="Arial" w:cs="Arial"/>
          <w:b w:val="0"/>
          <w:bCs/>
        </w:rPr>
        <w:t xml:space="preserve"> </w:t>
      </w:r>
      <w:r>
        <w:rPr>
          <w:rFonts w:ascii="Arial" w:hAnsi="Arial" w:cs="Arial"/>
          <w:b w:val="0"/>
          <w:bCs/>
          <w:color w:val="auto"/>
          <w:szCs w:val="22"/>
          <w:lang w:val="es-MX"/>
        </w:rPr>
        <w:t>que el Artículo 17 del Pliego Particular de Condiciones exige que en la propuesta se agreguen documentos que no están directamente vinculados a la consideración del objeto de la contratación y a la evaluación de la oferta (Resultando 1)), contraviniendo lo dispuesto por el Artículo 48 del T.O.C.A.F.;</w:t>
      </w:r>
      <w:r>
        <w:rPr>
          <w:rFonts w:ascii="Arial" w:hAnsi="Arial" w:cs="Arial"/>
          <w:b w:val="0"/>
        </w:rPr>
        <w:t xml:space="preserve">    </w:t>
      </w:r>
    </w:p>
    <w:p w:rsidR="006B3290" w:rsidRDefault="006B3290" w:rsidP="00FE22AC">
      <w:pPr>
        <w:spacing w:line="360" w:lineRule="auto"/>
        <w:ind w:firstLine="2977"/>
        <w:jc w:val="both"/>
        <w:rPr>
          <w:rFonts w:ascii="Arial" w:hAnsi="Arial" w:cs="Arial"/>
          <w:b w:val="0"/>
        </w:rPr>
      </w:pPr>
      <w:r>
        <w:rPr>
          <w:rFonts w:ascii="Arial" w:hAnsi="Arial" w:cs="Arial"/>
        </w:rPr>
        <w:t>2)</w:t>
      </w:r>
      <w:r>
        <w:rPr>
          <w:rFonts w:ascii="Arial" w:hAnsi="Arial" w:cs="Arial"/>
          <w:b w:val="0"/>
        </w:rPr>
        <w:t xml:space="preserve"> </w:t>
      </w:r>
      <w:r>
        <w:rPr>
          <w:rFonts w:ascii="Arial" w:hAnsi="Arial" w:cs="Arial"/>
          <w:b w:val="0"/>
          <w:szCs w:val="24"/>
        </w:rPr>
        <w:t xml:space="preserve">que los Artículos 48 </w:t>
      </w:r>
      <w:r w:rsidR="00FE22AC">
        <w:rPr>
          <w:rFonts w:ascii="Arial" w:hAnsi="Arial" w:cs="Arial"/>
          <w:b w:val="0"/>
          <w:szCs w:val="24"/>
        </w:rPr>
        <w:t>L</w:t>
      </w:r>
      <w:r>
        <w:rPr>
          <w:rFonts w:ascii="Arial" w:hAnsi="Arial" w:cs="Arial"/>
          <w:b w:val="0"/>
          <w:szCs w:val="24"/>
        </w:rPr>
        <w:t xml:space="preserve">iteral C), 65 </w:t>
      </w:r>
      <w:r w:rsidR="00FE22AC">
        <w:rPr>
          <w:rFonts w:ascii="Arial" w:hAnsi="Arial" w:cs="Arial"/>
          <w:b w:val="0"/>
          <w:szCs w:val="24"/>
        </w:rPr>
        <w:t>I</w:t>
      </w:r>
      <w:r>
        <w:rPr>
          <w:rFonts w:ascii="Arial" w:hAnsi="Arial" w:cs="Arial"/>
          <w:b w:val="0"/>
          <w:szCs w:val="24"/>
        </w:rPr>
        <w:t>nc</w:t>
      </w:r>
      <w:r w:rsidR="00FE22AC">
        <w:rPr>
          <w:rFonts w:ascii="Arial" w:hAnsi="Arial" w:cs="Arial"/>
          <w:b w:val="0"/>
          <w:szCs w:val="24"/>
        </w:rPr>
        <w:t>isos</w:t>
      </w:r>
      <w:r>
        <w:rPr>
          <w:rFonts w:ascii="Arial" w:hAnsi="Arial" w:cs="Arial"/>
          <w:b w:val="0"/>
          <w:szCs w:val="24"/>
        </w:rPr>
        <w:t xml:space="preserve"> 12</w:t>
      </w:r>
      <w:r w:rsidR="00FE22AC">
        <w:rPr>
          <w:rFonts w:ascii="Arial" w:hAnsi="Arial" w:cs="Arial"/>
          <w:b w:val="0"/>
          <w:szCs w:val="24"/>
        </w:rPr>
        <w:t>)</w:t>
      </w:r>
      <w:r>
        <w:rPr>
          <w:rFonts w:ascii="Arial" w:hAnsi="Arial" w:cs="Arial"/>
          <w:b w:val="0"/>
          <w:szCs w:val="24"/>
        </w:rPr>
        <w:t xml:space="preserve"> y 68</w:t>
      </w:r>
      <w:r w:rsidR="00FE22AC">
        <w:rPr>
          <w:rFonts w:ascii="Arial" w:hAnsi="Arial" w:cs="Arial"/>
          <w:b w:val="0"/>
          <w:szCs w:val="24"/>
        </w:rPr>
        <w:t>)</w:t>
      </w:r>
      <w:r>
        <w:rPr>
          <w:rFonts w:ascii="Arial" w:hAnsi="Arial" w:cs="Arial"/>
          <w:b w:val="0"/>
          <w:szCs w:val="24"/>
        </w:rPr>
        <w:t xml:space="preserve"> </w:t>
      </w:r>
      <w:r w:rsidR="00FE22AC">
        <w:rPr>
          <w:rFonts w:ascii="Arial" w:hAnsi="Arial" w:cs="Arial"/>
          <w:b w:val="0"/>
          <w:szCs w:val="24"/>
        </w:rPr>
        <w:t>I</w:t>
      </w:r>
      <w:r>
        <w:rPr>
          <w:rFonts w:ascii="Arial" w:hAnsi="Arial" w:cs="Arial"/>
          <w:b w:val="0"/>
          <w:szCs w:val="24"/>
        </w:rPr>
        <w:t>nc</w:t>
      </w:r>
      <w:r w:rsidR="00FE22AC">
        <w:rPr>
          <w:rFonts w:ascii="Arial" w:hAnsi="Arial" w:cs="Arial"/>
          <w:b w:val="0"/>
          <w:szCs w:val="24"/>
        </w:rPr>
        <w:t>iso 3</w:t>
      </w:r>
      <w:r w:rsidR="001B0BD9">
        <w:rPr>
          <w:rFonts w:ascii="Arial" w:hAnsi="Arial" w:cs="Arial"/>
          <w:b w:val="0"/>
          <w:szCs w:val="24"/>
        </w:rPr>
        <w:t>)</w:t>
      </w:r>
      <w:r>
        <w:rPr>
          <w:rFonts w:ascii="Arial" w:hAnsi="Arial" w:cs="Arial"/>
          <w:b w:val="0"/>
          <w:szCs w:val="24"/>
        </w:rPr>
        <w:t xml:space="preserve"> del T.O.C.A.F. preceptúan que se deberán juzgar los antecedentes y el contenido de las ofertas en base a criterios objetivos determinados en los pliegos, estableciendo en estos últimos la ponderación de los factores sean cualitativos o cuantitativos, que se tendrán en cuenta a efectos de determinar la calificación asignada a cada oferta, o si los mismos se establecen como requisitos mínimos exigibles, en cuyo caso se podrá adjudicar en base a precio u otro elemento cuantitativo establecido</w:t>
      </w:r>
      <w:r>
        <w:rPr>
          <w:rFonts w:ascii="Arial" w:hAnsi="Arial" w:cs="Arial"/>
          <w:b w:val="0"/>
        </w:rPr>
        <w:t xml:space="preserve">                        </w:t>
      </w:r>
    </w:p>
    <w:p w:rsidR="006B3290" w:rsidRDefault="006B3290" w:rsidP="001B0BD9">
      <w:pPr>
        <w:spacing w:line="360" w:lineRule="auto"/>
        <w:ind w:firstLine="2977"/>
        <w:jc w:val="both"/>
        <w:rPr>
          <w:rFonts w:ascii="Arial" w:hAnsi="Arial" w:cs="Arial"/>
          <w:b w:val="0"/>
          <w:bCs/>
          <w:szCs w:val="24"/>
        </w:rPr>
      </w:pPr>
      <w:r>
        <w:rPr>
          <w:rFonts w:ascii="Arial" w:hAnsi="Arial" w:cs="Arial"/>
          <w:szCs w:val="24"/>
        </w:rPr>
        <w:t>3)</w:t>
      </w:r>
      <w:r>
        <w:rPr>
          <w:rFonts w:ascii="Arial" w:hAnsi="Arial" w:cs="Arial"/>
          <w:b w:val="0"/>
          <w:bCs/>
          <w:szCs w:val="24"/>
        </w:rPr>
        <w:t xml:space="preserve"> que en el caso, si bien </w:t>
      </w:r>
      <w:r>
        <w:rPr>
          <w:rFonts w:ascii="Arial" w:hAnsi="Arial" w:cs="Arial"/>
          <w:b w:val="0"/>
          <w:szCs w:val="24"/>
        </w:rPr>
        <w:t xml:space="preserve">para la ponderación de las ofertas </w:t>
      </w:r>
      <w:r>
        <w:rPr>
          <w:rFonts w:ascii="Arial" w:hAnsi="Arial" w:cs="Arial"/>
          <w:b w:val="0"/>
          <w:bCs/>
          <w:szCs w:val="24"/>
        </w:rPr>
        <w:t>se</w:t>
      </w:r>
      <w:r>
        <w:rPr>
          <w:rFonts w:ascii="Arial" w:hAnsi="Arial" w:cs="Arial"/>
          <w:b w:val="0"/>
          <w:szCs w:val="24"/>
        </w:rPr>
        <w:t xml:space="preserve"> establecen los factores que se tendrán en cuenta para evaluarlas, así como el  máximo porcentaje a asignarles (Resultando 2), no se establecen franjas de ponderación objetiva dentro de los máximos fijados para cada factor, no  surgiendo de las actuaciones remitidas como se determinaron las mismas, ni tampoco constan ellas en el dictamen de la Comisión Asesora de Adjudicaciones ni en los informes técnicos anexos;                                      </w:t>
      </w:r>
    </w:p>
    <w:p w:rsidR="006B3290" w:rsidRDefault="006B3290" w:rsidP="001B0BD9">
      <w:pPr>
        <w:pStyle w:val="Ttulo2"/>
        <w:spacing w:line="360" w:lineRule="auto"/>
        <w:ind w:firstLine="708"/>
        <w:jc w:val="both"/>
        <w:rPr>
          <w:b w:val="0"/>
          <w:bCs/>
          <w:szCs w:val="24"/>
          <w:lang w:val="es-UY"/>
        </w:rPr>
      </w:pPr>
      <w:r>
        <w:rPr>
          <w:szCs w:val="24"/>
          <w:lang w:val="es-UY"/>
        </w:rPr>
        <w:t xml:space="preserve">ATENTO: </w:t>
      </w:r>
      <w:r>
        <w:rPr>
          <w:b w:val="0"/>
          <w:bCs/>
          <w:szCs w:val="24"/>
          <w:lang w:val="es-UY"/>
        </w:rPr>
        <w:t xml:space="preserve">a lo precedentemente expuesto y a lo establecido en el </w:t>
      </w:r>
      <w:r w:rsidR="001B0BD9">
        <w:rPr>
          <w:b w:val="0"/>
          <w:bCs/>
          <w:szCs w:val="24"/>
          <w:lang w:val="es-UY"/>
        </w:rPr>
        <w:t>A</w:t>
      </w:r>
      <w:r>
        <w:rPr>
          <w:b w:val="0"/>
          <w:bCs/>
          <w:szCs w:val="24"/>
          <w:lang w:val="es-UY"/>
        </w:rPr>
        <w:t xml:space="preserve">rtículo 211 </w:t>
      </w:r>
      <w:r w:rsidR="001B0BD9">
        <w:rPr>
          <w:b w:val="0"/>
          <w:bCs/>
          <w:szCs w:val="24"/>
          <w:lang w:val="es-UY"/>
        </w:rPr>
        <w:t>L</w:t>
      </w:r>
      <w:r>
        <w:rPr>
          <w:b w:val="0"/>
          <w:bCs/>
          <w:szCs w:val="24"/>
          <w:lang w:val="es-UY"/>
        </w:rPr>
        <w:t>iteral B) de la Constitución de la República;</w:t>
      </w:r>
    </w:p>
    <w:p w:rsidR="006B3290" w:rsidRDefault="006B3290">
      <w:pPr>
        <w:pStyle w:val="Ttulo2"/>
        <w:spacing w:line="360" w:lineRule="auto"/>
        <w:rPr>
          <w:szCs w:val="24"/>
          <w:lang w:val="es-UY"/>
        </w:rPr>
      </w:pPr>
      <w:r>
        <w:rPr>
          <w:szCs w:val="24"/>
          <w:lang w:val="es-UY"/>
        </w:rPr>
        <w:t>EL TRIBUNAL ACUERDA</w:t>
      </w:r>
    </w:p>
    <w:p w:rsidR="006B3290" w:rsidRDefault="001B0BD9" w:rsidP="001B0BD9">
      <w:pPr>
        <w:spacing w:line="360" w:lineRule="auto"/>
        <w:jc w:val="both"/>
        <w:rPr>
          <w:rFonts w:ascii="Arial" w:hAnsi="Arial" w:cs="Arial"/>
          <w:b w:val="0"/>
          <w:bCs/>
          <w:szCs w:val="24"/>
        </w:rPr>
      </w:pPr>
      <w:r w:rsidRPr="001B0BD9">
        <w:rPr>
          <w:rFonts w:ascii="Arial" w:hAnsi="Arial" w:cs="Arial"/>
          <w:bCs/>
          <w:szCs w:val="24"/>
        </w:rPr>
        <w:t>1)</w:t>
      </w:r>
      <w:r>
        <w:rPr>
          <w:rFonts w:ascii="Arial" w:hAnsi="Arial" w:cs="Arial"/>
          <w:b w:val="0"/>
          <w:bCs/>
          <w:szCs w:val="24"/>
        </w:rPr>
        <w:t xml:space="preserve"> </w:t>
      </w:r>
      <w:r w:rsidR="00A23F00">
        <w:rPr>
          <w:rFonts w:ascii="Arial" w:hAnsi="Arial" w:cs="Arial"/>
          <w:b w:val="0"/>
          <w:bCs/>
          <w:szCs w:val="24"/>
        </w:rPr>
        <w:t>Observar el gasto;</w:t>
      </w:r>
      <w:bookmarkStart w:id="0" w:name="_GoBack"/>
      <w:bookmarkEnd w:id="0"/>
      <w:r w:rsidR="006B3290">
        <w:rPr>
          <w:rFonts w:ascii="Arial" w:hAnsi="Arial" w:cs="Arial"/>
          <w:b w:val="0"/>
          <w:bCs/>
          <w:szCs w:val="24"/>
        </w:rPr>
        <w:t xml:space="preserve"> y</w:t>
      </w:r>
    </w:p>
    <w:p w:rsidR="006B3290" w:rsidRDefault="001B0BD9" w:rsidP="001B0BD9">
      <w:pPr>
        <w:spacing w:line="360" w:lineRule="auto"/>
        <w:jc w:val="both"/>
        <w:rPr>
          <w:rFonts w:ascii="Arial" w:hAnsi="Arial" w:cs="Arial"/>
          <w:b w:val="0"/>
          <w:bCs/>
          <w:szCs w:val="24"/>
        </w:rPr>
      </w:pPr>
      <w:r w:rsidRPr="001B0BD9">
        <w:rPr>
          <w:rFonts w:ascii="Arial" w:hAnsi="Arial" w:cs="Arial"/>
          <w:bCs/>
          <w:szCs w:val="24"/>
        </w:rPr>
        <w:t>2)</w:t>
      </w:r>
      <w:r>
        <w:rPr>
          <w:rFonts w:ascii="Arial" w:hAnsi="Arial" w:cs="Arial"/>
          <w:b w:val="0"/>
          <w:bCs/>
          <w:szCs w:val="24"/>
        </w:rPr>
        <w:t xml:space="preserve"> </w:t>
      </w:r>
      <w:r w:rsidR="006B3290">
        <w:rPr>
          <w:rFonts w:ascii="Arial" w:hAnsi="Arial" w:cs="Arial"/>
          <w:b w:val="0"/>
          <w:bCs/>
          <w:szCs w:val="24"/>
        </w:rPr>
        <w:t>Devolver las actuaciones;</w:t>
      </w:r>
    </w:p>
    <w:p w:rsidR="001B0BD9" w:rsidRDefault="001B0BD9" w:rsidP="001B0BD9">
      <w:pPr>
        <w:spacing w:line="360" w:lineRule="auto"/>
        <w:jc w:val="both"/>
        <w:rPr>
          <w:rFonts w:ascii="Arial" w:hAnsi="Arial" w:cs="Arial"/>
          <w:b w:val="0"/>
          <w:bCs/>
          <w:szCs w:val="24"/>
        </w:rPr>
      </w:pPr>
    </w:p>
    <w:p w:rsidR="001B0BD9" w:rsidRDefault="001B0BD9" w:rsidP="001B0BD9">
      <w:pPr>
        <w:spacing w:line="360" w:lineRule="auto"/>
        <w:jc w:val="both"/>
        <w:rPr>
          <w:rFonts w:ascii="Arial" w:hAnsi="Arial" w:cs="Arial"/>
          <w:b w:val="0"/>
          <w:bCs/>
          <w:szCs w:val="24"/>
        </w:rPr>
      </w:pPr>
    </w:p>
    <w:p w:rsidR="001B0BD9" w:rsidRDefault="001B0BD9" w:rsidP="001B0BD9">
      <w:pPr>
        <w:spacing w:line="360" w:lineRule="auto"/>
        <w:jc w:val="both"/>
        <w:rPr>
          <w:rFonts w:ascii="Arial" w:hAnsi="Arial" w:cs="Arial"/>
          <w:b w:val="0"/>
          <w:bCs/>
          <w:szCs w:val="24"/>
        </w:rPr>
      </w:pPr>
      <w:proofErr w:type="spellStart"/>
      <w:proofErr w:type="gramStart"/>
      <w:r>
        <w:rPr>
          <w:rFonts w:ascii="Arial" w:hAnsi="Arial" w:cs="Arial"/>
          <w:b w:val="0"/>
          <w:bCs/>
          <w:szCs w:val="24"/>
        </w:rPr>
        <w:t>cr</w:t>
      </w:r>
      <w:proofErr w:type="spellEnd"/>
      <w:proofErr w:type="gramEnd"/>
    </w:p>
    <w:sectPr w:rsidR="001B0BD9" w:rsidSect="001B0BD9">
      <w:footerReference w:type="default" r:id="rId8"/>
      <w:pgSz w:w="11906" w:h="16838"/>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DF" w:rsidRDefault="008D22DF" w:rsidP="008D22DF">
      <w:r>
        <w:separator/>
      </w:r>
    </w:p>
  </w:endnote>
  <w:endnote w:type="continuationSeparator" w:id="0">
    <w:p w:rsidR="008D22DF" w:rsidRDefault="008D22DF" w:rsidP="008D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730468"/>
      <w:docPartObj>
        <w:docPartGallery w:val="Page Numbers (Bottom of Page)"/>
        <w:docPartUnique/>
      </w:docPartObj>
    </w:sdtPr>
    <w:sdtContent>
      <w:p w:rsidR="008D22DF" w:rsidRDefault="008D22DF">
        <w:pPr>
          <w:pStyle w:val="Piedepgina"/>
          <w:jc w:val="center"/>
        </w:pPr>
        <w:r>
          <w:fldChar w:fldCharType="begin"/>
        </w:r>
        <w:r>
          <w:instrText>PAGE   \* MERGEFORMAT</w:instrText>
        </w:r>
        <w:r>
          <w:fldChar w:fldCharType="separate"/>
        </w:r>
        <w:r w:rsidR="00A23F00">
          <w:rPr>
            <w:noProof/>
          </w:rPr>
          <w:t>4</w:t>
        </w:r>
        <w:r>
          <w:fldChar w:fldCharType="end"/>
        </w:r>
      </w:p>
    </w:sdtContent>
  </w:sdt>
  <w:p w:rsidR="008D22DF" w:rsidRDefault="008D22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DF" w:rsidRDefault="008D22DF" w:rsidP="008D22DF">
      <w:r>
        <w:separator/>
      </w:r>
    </w:p>
  </w:footnote>
  <w:footnote w:type="continuationSeparator" w:id="0">
    <w:p w:rsidR="008D22DF" w:rsidRDefault="008D22DF" w:rsidP="008D2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1C41135"/>
    <w:multiLevelType w:val="hybridMultilevel"/>
    <w:tmpl w:val="548CF326"/>
    <w:lvl w:ilvl="0" w:tplc="F1726B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1BC7D08"/>
    <w:multiLevelType w:val="hybridMultilevel"/>
    <w:tmpl w:val="548CF326"/>
    <w:lvl w:ilvl="0" w:tplc="F1726B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nsid w:val="5A9D03DD"/>
    <w:multiLevelType w:val="hybridMultilevel"/>
    <w:tmpl w:val="EA0C5D42"/>
    <w:lvl w:ilvl="0" w:tplc="F3C2F822">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8">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20">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3"/>
  </w:num>
  <w:num w:numId="7">
    <w:abstractNumId w:val="17"/>
  </w:num>
  <w:num w:numId="8">
    <w:abstractNumId w:val="7"/>
  </w:num>
  <w:num w:numId="9">
    <w:abstractNumId w:val="3"/>
  </w:num>
  <w:num w:numId="10">
    <w:abstractNumId w:val="12"/>
  </w:num>
  <w:num w:numId="11">
    <w:abstractNumId w:val="20"/>
  </w:num>
  <w:num w:numId="12">
    <w:abstractNumId w:val="22"/>
  </w:num>
  <w:num w:numId="13">
    <w:abstractNumId w:val="24"/>
  </w:num>
  <w:num w:numId="14">
    <w:abstractNumId w:val="6"/>
  </w:num>
  <w:num w:numId="15">
    <w:abstractNumId w:val="16"/>
  </w:num>
  <w:num w:numId="16">
    <w:abstractNumId w:val="18"/>
  </w:num>
  <w:num w:numId="17">
    <w:abstractNumId w:val="21"/>
  </w:num>
  <w:num w:numId="18">
    <w:abstractNumId w:val="9"/>
  </w:num>
  <w:num w:numId="19">
    <w:abstractNumId w:val="11"/>
  </w:num>
  <w:num w:numId="20">
    <w:abstractNumId w:val="8"/>
  </w:num>
  <w:num w:numId="21">
    <w:abstractNumId w:val="1"/>
  </w:num>
  <w:num w:numId="22">
    <w:abstractNumId w:val="0"/>
  </w:num>
  <w:num w:numId="23">
    <w:abstractNumId w:val="11"/>
    <w:lvlOverride w:ilvl="0">
      <w:startOverride w:val="9"/>
    </w:lvlOverride>
  </w:num>
  <w:num w:numId="24">
    <w:abstractNumId w:val="14"/>
  </w:num>
  <w:num w:numId="25">
    <w:abstractNumId w:val="10"/>
  </w:num>
  <w:num w:numId="26">
    <w:abstractNumId w:val="4"/>
  </w:num>
  <w:num w:numId="27">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4C"/>
    <w:rsid w:val="001B0BD9"/>
    <w:rsid w:val="004E2A4C"/>
    <w:rsid w:val="006B3290"/>
    <w:rsid w:val="008D22DF"/>
    <w:rsid w:val="009169F3"/>
    <w:rsid w:val="00A23F00"/>
    <w:rsid w:val="00C32A84"/>
    <w:rsid w:val="00FE22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character" w:customStyle="1" w:styleId="Textoindependiente2Car">
    <w:name w:val="Texto independiente 2 Car"/>
    <w:semiHidden/>
    <w:rPr>
      <w:rFonts w:ascii="Arial" w:hAnsi="Arial" w:cs="Arial"/>
      <w:bCs/>
      <w:color w:val="000000"/>
      <w:sz w:val="24"/>
      <w:lang w:val="es-ES_tradn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 w:type="character" w:customStyle="1" w:styleId="Ttulo2Car">
    <w:name w:val="Título 2 Car"/>
    <w:rPr>
      <w:rFonts w:ascii="Arial" w:hAnsi="Arial" w:cs="Arial"/>
      <w:b/>
      <w:color w:val="000000"/>
      <w:sz w:val="24"/>
      <w:lang w:val="es-ES_tradnl"/>
    </w:rPr>
  </w:style>
  <w:style w:type="character" w:customStyle="1" w:styleId="TtuloCar">
    <w:name w:val="Título Car"/>
    <w:rPr>
      <w:rFonts w:ascii="Arial" w:hAnsi="Arial"/>
      <w:b/>
      <w:sz w:val="24"/>
      <w:szCs w:val="24"/>
      <w:u w:val="single"/>
      <w:lang w:val="es-UY"/>
    </w:rPr>
  </w:style>
  <w:style w:type="paragraph" w:styleId="Encabezado">
    <w:name w:val="header"/>
    <w:basedOn w:val="Normal"/>
    <w:link w:val="EncabezadoCar"/>
    <w:uiPriority w:val="99"/>
    <w:unhideWhenUsed/>
    <w:rsid w:val="008D22DF"/>
    <w:pPr>
      <w:tabs>
        <w:tab w:val="center" w:pos="4252"/>
        <w:tab w:val="right" w:pos="8504"/>
      </w:tabs>
    </w:pPr>
  </w:style>
  <w:style w:type="character" w:customStyle="1" w:styleId="EncabezadoCar">
    <w:name w:val="Encabezado Car"/>
    <w:basedOn w:val="Fuentedeprrafopredeter"/>
    <w:link w:val="Encabezado"/>
    <w:uiPriority w:val="99"/>
    <w:rsid w:val="008D22DF"/>
    <w:rPr>
      <w:rFonts w:ascii="GothicPS" w:hAnsi="GothicPS"/>
      <w:b/>
      <w:color w:val="000000"/>
      <w:sz w:val="24"/>
      <w:lang w:val="es-ES" w:eastAsia="es-ES"/>
    </w:rPr>
  </w:style>
  <w:style w:type="paragraph" w:styleId="Piedepgina">
    <w:name w:val="footer"/>
    <w:basedOn w:val="Normal"/>
    <w:link w:val="PiedepginaCar"/>
    <w:uiPriority w:val="99"/>
    <w:unhideWhenUsed/>
    <w:rsid w:val="008D22DF"/>
    <w:pPr>
      <w:tabs>
        <w:tab w:val="center" w:pos="4252"/>
        <w:tab w:val="right" w:pos="8504"/>
      </w:tabs>
    </w:pPr>
  </w:style>
  <w:style w:type="character" w:customStyle="1" w:styleId="PiedepginaCar">
    <w:name w:val="Pie de página Car"/>
    <w:basedOn w:val="Fuentedeprrafopredeter"/>
    <w:link w:val="Piedepgina"/>
    <w:uiPriority w:val="99"/>
    <w:rsid w:val="008D22DF"/>
    <w:rPr>
      <w:rFonts w:ascii="GothicPS" w:hAnsi="GothicPS"/>
      <w:b/>
      <w:color w:val="000000"/>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character" w:customStyle="1" w:styleId="Textoindependiente2Car">
    <w:name w:val="Texto independiente 2 Car"/>
    <w:semiHidden/>
    <w:rPr>
      <w:rFonts w:ascii="Arial" w:hAnsi="Arial" w:cs="Arial"/>
      <w:bCs/>
      <w:color w:val="000000"/>
      <w:sz w:val="24"/>
      <w:lang w:val="es-ES_tradn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 w:type="character" w:customStyle="1" w:styleId="Ttulo2Car">
    <w:name w:val="Título 2 Car"/>
    <w:rPr>
      <w:rFonts w:ascii="Arial" w:hAnsi="Arial" w:cs="Arial"/>
      <w:b/>
      <w:color w:val="000000"/>
      <w:sz w:val="24"/>
      <w:lang w:val="es-ES_tradnl"/>
    </w:rPr>
  </w:style>
  <w:style w:type="character" w:customStyle="1" w:styleId="TtuloCar">
    <w:name w:val="Título Car"/>
    <w:rPr>
      <w:rFonts w:ascii="Arial" w:hAnsi="Arial"/>
      <w:b/>
      <w:sz w:val="24"/>
      <w:szCs w:val="24"/>
      <w:u w:val="single"/>
      <w:lang w:val="es-UY"/>
    </w:rPr>
  </w:style>
  <w:style w:type="paragraph" w:styleId="Encabezado">
    <w:name w:val="header"/>
    <w:basedOn w:val="Normal"/>
    <w:link w:val="EncabezadoCar"/>
    <w:uiPriority w:val="99"/>
    <w:unhideWhenUsed/>
    <w:rsid w:val="008D22DF"/>
    <w:pPr>
      <w:tabs>
        <w:tab w:val="center" w:pos="4252"/>
        <w:tab w:val="right" w:pos="8504"/>
      </w:tabs>
    </w:pPr>
  </w:style>
  <w:style w:type="character" w:customStyle="1" w:styleId="EncabezadoCar">
    <w:name w:val="Encabezado Car"/>
    <w:basedOn w:val="Fuentedeprrafopredeter"/>
    <w:link w:val="Encabezado"/>
    <w:uiPriority w:val="99"/>
    <w:rsid w:val="008D22DF"/>
    <w:rPr>
      <w:rFonts w:ascii="GothicPS" w:hAnsi="GothicPS"/>
      <w:b/>
      <w:color w:val="000000"/>
      <w:sz w:val="24"/>
      <w:lang w:val="es-ES" w:eastAsia="es-ES"/>
    </w:rPr>
  </w:style>
  <w:style w:type="paragraph" w:styleId="Piedepgina">
    <w:name w:val="footer"/>
    <w:basedOn w:val="Normal"/>
    <w:link w:val="PiedepginaCar"/>
    <w:uiPriority w:val="99"/>
    <w:unhideWhenUsed/>
    <w:rsid w:val="008D22DF"/>
    <w:pPr>
      <w:tabs>
        <w:tab w:val="center" w:pos="4252"/>
        <w:tab w:val="right" w:pos="8504"/>
      </w:tabs>
    </w:pPr>
  </w:style>
  <w:style w:type="character" w:customStyle="1" w:styleId="PiedepginaCar">
    <w:name w:val="Pie de página Car"/>
    <w:basedOn w:val="Fuentedeprrafopredeter"/>
    <w:link w:val="Piedepgina"/>
    <w:uiPriority w:val="99"/>
    <w:rsid w:val="008D22DF"/>
    <w:rPr>
      <w:rFonts w:ascii="GothicPS" w:hAnsi="GothicPS"/>
      <w:b/>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5900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7138</CharactersWithSpaces>
  <SharedDoc>false</SharedDoc>
  <HLinks>
    <vt:vector size="6" baseType="variant">
      <vt:variant>
        <vt:i4>786490</vt:i4>
      </vt:variant>
      <vt:variant>
        <vt:i4>0</vt:i4>
      </vt:variant>
      <vt:variant>
        <vt:i4>0</vt:i4>
      </vt:variant>
      <vt:variant>
        <vt:i4>5</vt:i4>
      </vt:variant>
      <vt:variant>
        <vt:lpwstr>\\Tcrnw03\vol1\USUARIOS\JUR-GDEP\Mis documentos\LICITACIONES\Maldonado\2014-17-1-0000168-Mald-LP-Ropa.doc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subject/>
  <dc:creator>.</dc:creator>
  <cp:keywords/>
  <cp:lastModifiedBy>Miriam Cristina Rivero</cp:lastModifiedBy>
  <cp:revision>2</cp:revision>
  <cp:lastPrinted>2014-01-27T11:34:00Z</cp:lastPrinted>
  <dcterms:created xsi:type="dcterms:W3CDTF">2014-01-27T11:34:00Z</dcterms:created>
  <dcterms:modified xsi:type="dcterms:W3CDTF">2014-01-27T11:34:00Z</dcterms:modified>
</cp:coreProperties>
</file>