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34" w:rsidRDefault="00F81C3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81C34" w:rsidRDefault="00F81C3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81C34" w:rsidRDefault="00F81C3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81C34" w:rsidRDefault="00F81C3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81C34" w:rsidRDefault="00F81C3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F81C34" w:rsidRDefault="00F81C3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81C34" w:rsidRPr="00F81C34" w:rsidRDefault="00F81C3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F81C34">
        <w:rPr>
          <w:rFonts w:ascii="Helvetica" w:hAnsi="Helvetica"/>
          <w:b/>
          <w:lang w:val="es-UY"/>
        </w:rPr>
        <w:t xml:space="preserve">(E. E. Nº 2013-17-1-0005678, </w:t>
      </w:r>
      <w:proofErr w:type="spellStart"/>
      <w:r w:rsidRPr="00F81C34">
        <w:rPr>
          <w:rFonts w:ascii="Helvetica" w:hAnsi="Helvetica"/>
          <w:b/>
          <w:lang w:val="es-UY"/>
        </w:rPr>
        <w:t>Ent</w:t>
      </w:r>
      <w:proofErr w:type="spellEnd"/>
      <w:r w:rsidRPr="00F81C34">
        <w:rPr>
          <w:rFonts w:ascii="Helvetica" w:hAnsi="Helvetica"/>
          <w:b/>
          <w:lang w:val="es-UY"/>
        </w:rPr>
        <w:t>. N° 7116/13)</w:t>
      </w:r>
    </w:p>
    <w:p w:rsidR="00F81C34" w:rsidRPr="00F81C34" w:rsidRDefault="00F81C34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F81C34" w:rsidRPr="00F81C34" w:rsidRDefault="00F81C34">
      <w:pPr>
        <w:tabs>
          <w:tab w:val="center" w:pos="4253"/>
        </w:tabs>
        <w:suppressAutoHyphens/>
        <w:rPr>
          <w:spacing w:val="-3"/>
          <w:lang w:val="es-UY"/>
        </w:rPr>
      </w:pPr>
    </w:p>
    <w:p w:rsidR="007B3B93" w:rsidRDefault="00420503" w:rsidP="003828B6">
      <w:pPr>
        <w:spacing w:line="360" w:lineRule="auto"/>
        <w:ind w:firstLine="851"/>
        <w:jc w:val="both"/>
        <w:rPr>
          <w:rFonts w:cs="Arial"/>
          <w:spacing w:val="-3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bCs/>
          <w:lang w:val="es-MX"/>
        </w:rPr>
        <w:t xml:space="preserve"> el Oficio </w:t>
      </w:r>
      <w:r w:rsidR="003828B6">
        <w:rPr>
          <w:rFonts w:cs="Arial"/>
          <w:bCs/>
          <w:lang w:val="es-MX"/>
        </w:rPr>
        <w:t>N</w:t>
      </w:r>
      <w:r>
        <w:rPr>
          <w:rFonts w:cs="Arial"/>
          <w:bCs/>
          <w:lang w:val="es-MX"/>
        </w:rPr>
        <w:t xml:space="preserve">o. 81163 de fecha 10.12.13 </w:t>
      </w:r>
      <w:r>
        <w:rPr>
          <w:rFonts w:cs="Arial"/>
          <w:spacing w:val="-3"/>
        </w:rPr>
        <w:t>remitido por la Administración de Usinas  y Trasmisiones Eléctricas comunicando la reiteración del gasto emergente de  la ampliación de Licitación Pública Nº P36773 para el suministro e instalación “Llave en mano” de tres tanques para almacenamiento de gasoil (ASTM Nº 2), de 25.000 m3 de capacidad útil cada uno, a ser ubicados en “La Tablada” y Central Punta del Tigre y 1 Estación de bombeo para trasiego del ASTM Nº 2 desde Central Punta del Tigre hasta La Tablada;</w:t>
      </w:r>
    </w:p>
    <w:p w:rsidR="007B3B93" w:rsidRDefault="00420503" w:rsidP="003828B6">
      <w:pPr>
        <w:spacing w:line="360" w:lineRule="auto"/>
        <w:ind w:firstLine="851"/>
        <w:jc w:val="both"/>
        <w:rPr>
          <w:rFonts w:cs="Arial"/>
          <w:spacing w:val="-3"/>
        </w:rPr>
      </w:pPr>
      <w:r>
        <w:rPr>
          <w:b/>
          <w:bCs/>
        </w:rPr>
        <w:t>RESULTANDO: 1)</w:t>
      </w:r>
      <w:r>
        <w:t xml:space="preserve"> </w:t>
      </w:r>
      <w:r>
        <w:rPr>
          <w:rFonts w:cs="Arial"/>
          <w:spacing w:val="-3"/>
        </w:rPr>
        <w:t>que por Resolución R 08 – 1158 de fecha 11.09.08, el Directorio dispuso adjudicar al consorcio SACEEM Y CIR S. A. el Ítem 1 (Sub-ítem 1.1 y 1.2), por un total de $ 515.477.176,88 y a JULIO BERKES S.A. y BERKES S. R.L. el Ítem 2 (Sub-ítem 2.2 Estació</w:t>
      </w:r>
      <w:r w:rsidR="00EE049B">
        <w:rPr>
          <w:rFonts w:cs="Arial"/>
          <w:spacing w:val="-3"/>
        </w:rPr>
        <w:t>n de bombeo), por un total de $</w:t>
      </w:r>
      <w:r>
        <w:rPr>
          <w:rFonts w:cs="Arial"/>
          <w:spacing w:val="-3"/>
        </w:rPr>
        <w:t>294.218.102,7 (incl. impuestos, imprevistos, ajustes de precios, gastos y recargos de importación en dólares) más mano de obra y cargas sociales con impuestos, imprevistos y ajuste de precios;</w:t>
      </w:r>
      <w:r>
        <w:rPr>
          <w:rFonts w:cs="Arial"/>
          <w:spacing w:val="-3"/>
        </w:rPr>
        <w:tab/>
      </w:r>
    </w:p>
    <w:p w:rsidR="007B3B93" w:rsidRDefault="00420503" w:rsidP="003828B6">
      <w:pPr>
        <w:spacing w:line="360" w:lineRule="auto"/>
        <w:ind w:firstLine="2694"/>
        <w:jc w:val="both"/>
        <w:rPr>
          <w:rFonts w:cs="Arial"/>
          <w:spacing w:val="-3"/>
        </w:rPr>
      </w:pPr>
      <w:r w:rsidRPr="00382EA9">
        <w:rPr>
          <w:rFonts w:cs="Arial"/>
          <w:b/>
          <w:spacing w:val="-3"/>
        </w:rPr>
        <w:t>2</w:t>
      </w:r>
      <w:r>
        <w:rPr>
          <w:rFonts w:cs="Arial"/>
          <w:b/>
          <w:spacing w:val="-3"/>
        </w:rPr>
        <w:t>)</w:t>
      </w:r>
      <w:r>
        <w:rPr>
          <w:rFonts w:cs="Arial"/>
          <w:spacing w:val="-3"/>
        </w:rPr>
        <w:t xml:space="preserve"> que previa conformidad de los adjudicatarios, por Resolución G.G Nº 262/11 de fecha 11.11.11, el Gerente General dispuso  ampliar la contratación con  I) el CONSORCIO SACEEM – CIR, el 50% del </w:t>
      </w:r>
      <w:proofErr w:type="spellStart"/>
      <w:r>
        <w:rPr>
          <w:rFonts w:cs="Arial"/>
          <w:spacing w:val="-3"/>
        </w:rPr>
        <w:t>Item</w:t>
      </w:r>
      <w:proofErr w:type="spellEnd"/>
      <w:r>
        <w:rPr>
          <w:rFonts w:cs="Arial"/>
          <w:spacing w:val="-3"/>
        </w:rPr>
        <w:t xml:space="preserve"> 1, suministros en dólares americanos, por un total de U$S 4:909.855,08 </w:t>
      </w:r>
      <w:r w:rsidRPr="00382EA9">
        <w:rPr>
          <w:rFonts w:cs="Arial"/>
          <w:spacing w:val="20"/>
        </w:rPr>
        <w:t>(equivalente a $ 99:512.942,76) y en moneda nacional por un total de $</w:t>
      </w:r>
      <w:r>
        <w:rPr>
          <w:rFonts w:cs="Arial"/>
          <w:spacing w:val="-3"/>
        </w:rPr>
        <w:t xml:space="preserve"> 192:528.002,64, siendo el monto total de $ 292:040.945,40 y II) el CONSORCIO BERKES – BERKES, II el 100% del </w:t>
      </w:r>
      <w:proofErr w:type="spellStart"/>
      <w:r>
        <w:rPr>
          <w:rFonts w:cs="Arial"/>
          <w:spacing w:val="-3"/>
        </w:rPr>
        <w:t>item</w:t>
      </w:r>
      <w:proofErr w:type="spellEnd"/>
      <w:r>
        <w:rPr>
          <w:rFonts w:cs="Arial"/>
          <w:spacing w:val="-3"/>
        </w:rPr>
        <w:t xml:space="preserve"> 2, suministros en dólares americanos, por un total de U$S 6:100.546,79 (equivale a $ 123:645.882,34) y en </w:t>
      </w:r>
      <w:r w:rsidRPr="00382EA9">
        <w:rPr>
          <w:rFonts w:cs="Arial"/>
          <w:spacing w:val="-14"/>
        </w:rPr>
        <w:t>moneda nacional, por un total de $ 249:187.317,86 siendo el total de $</w:t>
      </w:r>
      <w:r>
        <w:rPr>
          <w:rFonts w:cs="Arial"/>
          <w:spacing w:val="-3"/>
        </w:rPr>
        <w:t xml:space="preserve"> 372:833.200,20 </w:t>
      </w:r>
      <w:r>
        <w:rPr>
          <w:rFonts w:cs="Arial"/>
          <w:spacing w:val="-3"/>
        </w:rPr>
        <w:lastRenderedPageBreak/>
        <w:t>(incluyendo suministros plaza, mano de obra y cargas sociales, impuesto, imprevistos y ajuste de precios);</w:t>
      </w:r>
    </w:p>
    <w:p w:rsidR="007B3B93" w:rsidRDefault="00420503" w:rsidP="003828B6">
      <w:pPr>
        <w:spacing w:line="360" w:lineRule="auto"/>
        <w:ind w:firstLine="2694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 xml:space="preserve">3) </w:t>
      </w:r>
      <w:r>
        <w:rPr>
          <w:rFonts w:cs="Arial"/>
          <w:spacing w:val="-3"/>
        </w:rPr>
        <w:t xml:space="preserve">que este Tribunal, en </w:t>
      </w:r>
      <w:r w:rsidR="00382EA9">
        <w:rPr>
          <w:rFonts w:cs="Arial"/>
          <w:spacing w:val="-3"/>
        </w:rPr>
        <w:t>S</w:t>
      </w:r>
      <w:r>
        <w:rPr>
          <w:rFonts w:cs="Arial"/>
          <w:spacing w:val="-3"/>
        </w:rPr>
        <w:t xml:space="preserve">esión de fecha 21.12.11, acordó  observar el gasto en razón de que: a) la aceptación por parte de la Administración de las modificaciones propuestas por los adjudicatarios a posteriori de la resolución de adjudicación, contravino lo preceptuado por los </w:t>
      </w:r>
      <w:r w:rsidR="00382EA9">
        <w:rPr>
          <w:rFonts w:cs="Arial"/>
          <w:spacing w:val="-3"/>
        </w:rPr>
        <w:t>A</w:t>
      </w:r>
      <w:r>
        <w:rPr>
          <w:rFonts w:cs="Arial"/>
          <w:spacing w:val="-3"/>
        </w:rPr>
        <w:t xml:space="preserve">rtículos 45 y 131 literal F del TOCAF; b) las modificaciones introducidas por los adjudicatarios a sus ofertas en forma posterior a la adjudicación, contravinieron los </w:t>
      </w:r>
      <w:r w:rsidR="00382EA9">
        <w:rPr>
          <w:rFonts w:cs="Arial"/>
          <w:spacing w:val="-3"/>
        </w:rPr>
        <w:t>A</w:t>
      </w:r>
      <w:r>
        <w:rPr>
          <w:rFonts w:cs="Arial"/>
          <w:spacing w:val="-3"/>
        </w:rPr>
        <w:t>rtículos 56 y 131 del T.O.C.A.F.; c) la motivación de las modificaciones mencionadas es inadecuada o insuficiente, contraviniendo el principio de motivación de los actos administrativos y d) las modificaciones contractuales dispuestas exceden los límites de procedencia de la renegociación de los contratos públicos y e) se realizaron cambios sin contar con la intervención previa de legalidad del Tribunal; reiterado el gasto, el Tribunal, en sesión de fecha 05.09.12, acordó mantener la observación oportunamente efectuada</w:t>
      </w:r>
      <w:r w:rsidR="00986F1B">
        <w:rPr>
          <w:rFonts w:cs="Arial"/>
          <w:spacing w:val="-3"/>
        </w:rPr>
        <w:t>;</w:t>
      </w:r>
    </w:p>
    <w:p w:rsidR="007B3B93" w:rsidRDefault="00420503" w:rsidP="003828B6">
      <w:pPr>
        <w:spacing w:line="360" w:lineRule="auto"/>
        <w:ind w:firstLine="2694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 xml:space="preserve">4) </w:t>
      </w:r>
      <w:r>
        <w:rPr>
          <w:rFonts w:cs="Arial"/>
          <w:spacing w:val="-3"/>
        </w:rPr>
        <w:t>que por Resolución R 13.-312, de fecha 29.08.13, el Directorio ordenó realizar el gasto complementario de $ 32.000.000 por concepto de ajuste de precios a la ampliación del ítem 1  el siguiente detalle: para mano de Obra, pedido SAP P367731003 $ 6.000.000 (más I.V.A.), para Leyes Sociales, Pedido SAP P367731018 $ 2.600.000, para mano de obra por montaje, pedido SAP P367731021 $ 23.400.000 (más IVA)</w:t>
      </w:r>
      <w:r w:rsidR="00986F1B">
        <w:rPr>
          <w:rFonts w:cs="Arial"/>
          <w:spacing w:val="-3"/>
        </w:rPr>
        <w:t>;</w:t>
      </w:r>
      <w:r>
        <w:rPr>
          <w:rFonts w:cs="Arial"/>
          <w:spacing w:val="-3"/>
        </w:rPr>
        <w:t xml:space="preserve"> </w:t>
      </w:r>
    </w:p>
    <w:p w:rsidR="007B3B93" w:rsidRDefault="00420503" w:rsidP="003828B6">
      <w:pPr>
        <w:spacing w:line="360" w:lineRule="auto"/>
        <w:ind w:firstLine="2694"/>
        <w:jc w:val="both"/>
        <w:rPr>
          <w:rFonts w:cs="Arial"/>
          <w:spacing w:val="-3"/>
        </w:rPr>
      </w:pPr>
      <w:r w:rsidRPr="00986F1B">
        <w:rPr>
          <w:rFonts w:cs="Arial"/>
          <w:b/>
          <w:spacing w:val="-3"/>
        </w:rPr>
        <w:t>5)</w:t>
      </w:r>
      <w:r>
        <w:rPr>
          <w:rFonts w:cs="Arial"/>
          <w:spacing w:val="-3"/>
        </w:rPr>
        <w:t xml:space="preserve"> que este Tribunal con fecha 2.10.13 observó el gasto en razón de que la ampliación mencionada deriva de un gasto que ya fuera observado por causales insubsanables, y porque  el rubro de imputación contable no contaba con disponibilidad presupuestal suficiente para cubrir el gasto, contraviniéndose el </w:t>
      </w:r>
      <w:r w:rsidR="00986F1B">
        <w:rPr>
          <w:rFonts w:cs="Arial"/>
          <w:spacing w:val="-3"/>
        </w:rPr>
        <w:t>A</w:t>
      </w:r>
      <w:r>
        <w:rPr>
          <w:rFonts w:cs="Arial"/>
          <w:spacing w:val="-3"/>
        </w:rPr>
        <w:t>rtículo 15 del T.O.C.A.F.;</w:t>
      </w:r>
    </w:p>
    <w:p w:rsidR="007B3B93" w:rsidRDefault="00420503" w:rsidP="003828B6">
      <w:pPr>
        <w:spacing w:line="360" w:lineRule="auto"/>
        <w:ind w:firstLine="2694"/>
        <w:jc w:val="both"/>
      </w:pPr>
      <w:r>
        <w:rPr>
          <w:rFonts w:cs="Arial"/>
          <w:b/>
        </w:rPr>
        <w:t>6)</w:t>
      </w:r>
      <w:r>
        <w:rPr>
          <w:rFonts w:cs="Arial"/>
        </w:rPr>
        <w:t xml:space="preserve"> que por Resolución Nº 13.1989 del 5.12.13,</w:t>
      </w:r>
      <w:r w:rsidR="00EE049B">
        <w:rPr>
          <w:rFonts w:cs="Arial"/>
        </w:rPr>
        <w:t xml:space="preserve"> </w:t>
      </w:r>
      <w:r>
        <w:rPr>
          <w:rFonts w:cs="Arial"/>
        </w:rPr>
        <w:t>se reiteró el gasto, expresando que fue insuficiente la previsión realizada para abonar los ajustes estimados  hasta la finalización del contrato;</w:t>
      </w:r>
    </w:p>
    <w:p w:rsidR="007B3B93" w:rsidRDefault="00420503" w:rsidP="003828B6">
      <w:pPr>
        <w:spacing w:line="360" w:lineRule="auto"/>
        <w:ind w:firstLine="851"/>
        <w:jc w:val="both"/>
        <w:rPr>
          <w:bCs/>
        </w:rPr>
      </w:pPr>
      <w:r>
        <w:rPr>
          <w:rFonts w:cs="Arial"/>
          <w:b/>
          <w:lang w:val="es-MX"/>
        </w:rPr>
        <w:lastRenderedPageBreak/>
        <w:t>CONSIDERANDO:</w:t>
      </w:r>
      <w:r>
        <w:rPr>
          <w:rFonts w:cs="Arial"/>
          <w:lang w:val="es-MX"/>
        </w:rPr>
        <w:t xml:space="preserve"> que </w:t>
      </w:r>
      <w:r>
        <w:rPr>
          <w:bCs/>
        </w:rPr>
        <w:t xml:space="preserve">se mantiene incambiada la observación formulada; </w:t>
      </w:r>
    </w:p>
    <w:p w:rsidR="007B3B93" w:rsidRDefault="00420503" w:rsidP="003828B6">
      <w:pPr>
        <w:pStyle w:val="Textoindependiente2"/>
        <w:ind w:firstLine="851"/>
        <w:jc w:val="both"/>
        <w:rPr>
          <w:b w:val="0"/>
          <w:bCs/>
          <w:i w:val="0"/>
          <w:iCs w:val="0"/>
          <w:sz w:val="24"/>
          <w:szCs w:val="20"/>
        </w:rPr>
      </w:pPr>
      <w:r>
        <w:rPr>
          <w:i w:val="0"/>
          <w:iCs w:val="0"/>
          <w:sz w:val="24"/>
          <w:szCs w:val="20"/>
        </w:rPr>
        <w:t>ATENTO:</w:t>
      </w:r>
      <w:r>
        <w:rPr>
          <w:b w:val="0"/>
          <w:bCs/>
          <w:i w:val="0"/>
          <w:iCs w:val="0"/>
          <w:sz w:val="24"/>
          <w:szCs w:val="20"/>
        </w:rPr>
        <w:t xml:space="preserve"> a lo expuesto y a lo dispuesto por el </w:t>
      </w:r>
      <w:r w:rsidR="00986F1B">
        <w:rPr>
          <w:b w:val="0"/>
          <w:bCs/>
          <w:i w:val="0"/>
          <w:iCs w:val="0"/>
          <w:sz w:val="24"/>
          <w:szCs w:val="20"/>
        </w:rPr>
        <w:t>A</w:t>
      </w:r>
      <w:r>
        <w:rPr>
          <w:b w:val="0"/>
          <w:bCs/>
          <w:i w:val="0"/>
          <w:iCs w:val="0"/>
          <w:sz w:val="24"/>
          <w:szCs w:val="20"/>
        </w:rPr>
        <w:t xml:space="preserve">rtículo 211 </w:t>
      </w:r>
      <w:r w:rsidR="00986F1B">
        <w:rPr>
          <w:b w:val="0"/>
          <w:bCs/>
          <w:i w:val="0"/>
          <w:iCs w:val="0"/>
          <w:sz w:val="24"/>
          <w:szCs w:val="20"/>
        </w:rPr>
        <w:t>L</w:t>
      </w:r>
      <w:r>
        <w:rPr>
          <w:b w:val="0"/>
          <w:bCs/>
          <w:i w:val="0"/>
          <w:iCs w:val="0"/>
          <w:sz w:val="24"/>
          <w:szCs w:val="20"/>
        </w:rPr>
        <w:t>iteral B) de la Constitución de la República;</w:t>
      </w:r>
    </w:p>
    <w:p w:rsidR="007B3B93" w:rsidRDefault="00420503" w:rsidP="00986F1B">
      <w:pPr>
        <w:pStyle w:val="Textoindependiente2"/>
        <w:jc w:val="center"/>
        <w:rPr>
          <w:i w:val="0"/>
          <w:iCs w:val="0"/>
          <w:sz w:val="24"/>
          <w:szCs w:val="20"/>
        </w:rPr>
      </w:pPr>
      <w:r>
        <w:rPr>
          <w:i w:val="0"/>
          <w:iCs w:val="0"/>
          <w:sz w:val="24"/>
          <w:szCs w:val="20"/>
        </w:rPr>
        <w:t>EL TRIBUNAL ACUERDA</w:t>
      </w:r>
    </w:p>
    <w:p w:rsidR="007B3B93" w:rsidRDefault="00986F1B" w:rsidP="00986F1B">
      <w:pPr>
        <w:spacing w:line="360" w:lineRule="auto"/>
        <w:jc w:val="both"/>
        <w:rPr>
          <w:rFonts w:cs="Arial"/>
        </w:rPr>
      </w:pPr>
      <w:r w:rsidRPr="00986F1B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420503">
        <w:rPr>
          <w:rFonts w:cs="Arial"/>
        </w:rPr>
        <w:t xml:space="preserve">Mantener </w:t>
      </w:r>
      <w:r w:rsidR="00420503">
        <w:rPr>
          <w:rFonts w:cs="Arial"/>
          <w:lang w:val="es-UY"/>
        </w:rPr>
        <w:t>la observación formulada en Sesión de fecha 2.10.13</w:t>
      </w:r>
      <w:r>
        <w:rPr>
          <w:rFonts w:cs="Arial"/>
          <w:lang w:val="es-UY"/>
        </w:rPr>
        <w:t>;</w:t>
      </w:r>
    </w:p>
    <w:p w:rsidR="007B3B93" w:rsidRDefault="00986F1B" w:rsidP="00986F1B">
      <w:pPr>
        <w:spacing w:line="360" w:lineRule="auto"/>
        <w:jc w:val="both"/>
      </w:pPr>
      <w:r w:rsidRPr="00986F1B">
        <w:rPr>
          <w:b/>
        </w:rPr>
        <w:t>2)</w:t>
      </w:r>
      <w:r>
        <w:rPr>
          <w:lang w:val="es-UY"/>
        </w:rPr>
        <w:t xml:space="preserve"> </w:t>
      </w:r>
      <w:r w:rsidR="00420503">
        <w:t>Comunicar a la Administración actuante</w:t>
      </w:r>
      <w:r>
        <w:t xml:space="preserve"> y al Poder Ejecutivo; y</w:t>
      </w:r>
    </w:p>
    <w:p w:rsidR="00986F1B" w:rsidRPr="00986F1B" w:rsidRDefault="00986F1B" w:rsidP="00986F1B">
      <w:pPr>
        <w:spacing w:line="360" w:lineRule="auto"/>
        <w:jc w:val="both"/>
        <w:rPr>
          <w:b/>
          <w:bCs/>
          <w:i/>
          <w:iCs/>
          <w:szCs w:val="20"/>
        </w:rPr>
      </w:pPr>
      <w:r w:rsidRPr="00986F1B">
        <w:rPr>
          <w:b/>
        </w:rPr>
        <w:t>3)</w:t>
      </w:r>
      <w:r w:rsidRPr="00986F1B">
        <w:t xml:space="preserve"> Dar cuenta a la Asamblea General.</w:t>
      </w:r>
    </w:p>
    <w:p w:rsidR="007B3B93" w:rsidRPr="003828B6" w:rsidRDefault="003828B6">
      <w:pPr>
        <w:spacing w:line="360" w:lineRule="auto"/>
        <w:jc w:val="both"/>
        <w:rPr>
          <w:bCs/>
        </w:rPr>
      </w:pPr>
      <w:proofErr w:type="spellStart"/>
      <w:proofErr w:type="gramStart"/>
      <w:r w:rsidRPr="003828B6">
        <w:rPr>
          <w:bCs/>
        </w:rPr>
        <w:t>cr</w:t>
      </w:r>
      <w:proofErr w:type="spellEnd"/>
      <w:proofErr w:type="gramEnd"/>
    </w:p>
    <w:sectPr w:rsidR="007B3B93" w:rsidRPr="003828B6" w:rsidSect="00986F1B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9B" w:rsidRDefault="00EE049B">
      <w:r>
        <w:separator/>
      </w:r>
    </w:p>
  </w:endnote>
  <w:endnote w:type="continuationSeparator" w:id="0">
    <w:p w:rsidR="00EE049B" w:rsidRDefault="00EE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9B" w:rsidRDefault="00EE04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049B" w:rsidRDefault="00EE04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9B" w:rsidRDefault="00EE04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A2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049B" w:rsidRDefault="00EE04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9B" w:rsidRDefault="00EE049B">
      <w:r>
        <w:separator/>
      </w:r>
    </w:p>
  </w:footnote>
  <w:footnote w:type="continuationSeparator" w:id="0">
    <w:p w:rsidR="00EE049B" w:rsidRDefault="00EE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6D8889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F6C4B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367046"/>
    <w:multiLevelType w:val="hybridMultilevel"/>
    <w:tmpl w:val="6DD6191A"/>
    <w:lvl w:ilvl="0" w:tplc="980229D6">
      <w:start w:val="2"/>
      <w:numFmt w:val="decimal"/>
      <w:lvlText w:val="%1)"/>
      <w:lvlJc w:val="left"/>
      <w:pPr>
        <w:tabs>
          <w:tab w:val="num" w:pos="3285"/>
        </w:tabs>
        <w:ind w:left="3285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05"/>
        </w:tabs>
        <w:ind w:left="40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25"/>
        </w:tabs>
        <w:ind w:left="47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5"/>
        </w:tabs>
        <w:ind w:left="54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65"/>
        </w:tabs>
        <w:ind w:left="61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85"/>
        </w:tabs>
        <w:ind w:left="68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05"/>
        </w:tabs>
        <w:ind w:left="76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25"/>
        </w:tabs>
        <w:ind w:left="83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45"/>
        </w:tabs>
        <w:ind w:left="9045" w:hanging="180"/>
      </w:pPr>
    </w:lvl>
  </w:abstractNum>
  <w:abstractNum w:abstractNumId="3">
    <w:nsid w:val="0CE274E9"/>
    <w:multiLevelType w:val="hybridMultilevel"/>
    <w:tmpl w:val="43627C2C"/>
    <w:lvl w:ilvl="0" w:tplc="26DE95C6">
      <w:start w:val="2"/>
      <w:numFmt w:val="upperRoman"/>
      <w:lvlText w:val="%1)"/>
      <w:lvlJc w:val="left"/>
      <w:pPr>
        <w:tabs>
          <w:tab w:val="num" w:pos="1848"/>
        </w:tabs>
        <w:ind w:left="1848" w:hanging="114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F741B2C"/>
    <w:multiLevelType w:val="hybridMultilevel"/>
    <w:tmpl w:val="74869E42"/>
    <w:lvl w:ilvl="0" w:tplc="56345F0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F7029E"/>
    <w:multiLevelType w:val="hybridMultilevel"/>
    <w:tmpl w:val="B63A4D2E"/>
    <w:lvl w:ilvl="0" w:tplc="57A49D22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15F33E3D"/>
    <w:multiLevelType w:val="hybridMultilevel"/>
    <w:tmpl w:val="11F2E4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9070D"/>
    <w:multiLevelType w:val="hybridMultilevel"/>
    <w:tmpl w:val="BB16B632"/>
    <w:lvl w:ilvl="0" w:tplc="781E9D52">
      <w:start w:val="2"/>
      <w:numFmt w:val="lowerLetter"/>
      <w:lvlText w:val="%1)"/>
      <w:lvlJc w:val="left"/>
      <w:pPr>
        <w:tabs>
          <w:tab w:val="num" w:pos="750"/>
        </w:tabs>
        <w:ind w:left="750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>
    <w:nsid w:val="197959E8"/>
    <w:multiLevelType w:val="hybridMultilevel"/>
    <w:tmpl w:val="29065374"/>
    <w:lvl w:ilvl="0" w:tplc="0DC005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D492B"/>
    <w:multiLevelType w:val="hybridMultilevel"/>
    <w:tmpl w:val="3ADA218A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453B95"/>
    <w:multiLevelType w:val="hybridMultilevel"/>
    <w:tmpl w:val="A2285B8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626C16"/>
    <w:multiLevelType w:val="hybridMultilevel"/>
    <w:tmpl w:val="EB6C15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043E59"/>
    <w:multiLevelType w:val="hybridMultilevel"/>
    <w:tmpl w:val="4380E5F8"/>
    <w:lvl w:ilvl="0" w:tplc="45C89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627EE"/>
    <w:multiLevelType w:val="hybridMultilevel"/>
    <w:tmpl w:val="72D6EA60"/>
    <w:lvl w:ilvl="0" w:tplc="4642A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D478FC"/>
    <w:multiLevelType w:val="hybridMultilevel"/>
    <w:tmpl w:val="EDF8F3D0"/>
    <w:lvl w:ilvl="0" w:tplc="910CF1F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3BF0C6C2">
      <w:start w:val="2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b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CC032D"/>
    <w:multiLevelType w:val="hybridMultilevel"/>
    <w:tmpl w:val="271A56CA"/>
    <w:lvl w:ilvl="0" w:tplc="2534C814">
      <w:start w:val="4"/>
      <w:numFmt w:val="decimal"/>
      <w:lvlText w:val="%1)"/>
      <w:lvlJc w:val="left"/>
      <w:pPr>
        <w:tabs>
          <w:tab w:val="num" w:pos="2955"/>
        </w:tabs>
        <w:ind w:left="2955" w:hanging="4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>
    <w:nsid w:val="454E15D8"/>
    <w:multiLevelType w:val="hybridMultilevel"/>
    <w:tmpl w:val="285E2160"/>
    <w:lvl w:ilvl="0" w:tplc="561CD2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2B54A0"/>
    <w:multiLevelType w:val="hybridMultilevel"/>
    <w:tmpl w:val="59DE2A62"/>
    <w:lvl w:ilvl="0" w:tplc="739EDB5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F6492"/>
    <w:multiLevelType w:val="hybridMultilevel"/>
    <w:tmpl w:val="45622270"/>
    <w:lvl w:ilvl="0" w:tplc="E8328BB6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D55E1C"/>
    <w:multiLevelType w:val="hybridMultilevel"/>
    <w:tmpl w:val="ECC61D56"/>
    <w:lvl w:ilvl="0" w:tplc="F7949AC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0">
    <w:nsid w:val="504232D4"/>
    <w:multiLevelType w:val="hybridMultilevel"/>
    <w:tmpl w:val="500E778C"/>
    <w:lvl w:ilvl="0" w:tplc="BBECEAB2">
      <w:start w:val="16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CC6321"/>
    <w:multiLevelType w:val="hybridMultilevel"/>
    <w:tmpl w:val="9A32FAAA"/>
    <w:lvl w:ilvl="0" w:tplc="AF90B3C8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2">
    <w:nsid w:val="614F614F"/>
    <w:multiLevelType w:val="hybridMultilevel"/>
    <w:tmpl w:val="92B6C8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7225AB"/>
    <w:multiLevelType w:val="hybridMultilevel"/>
    <w:tmpl w:val="132CFC00"/>
    <w:lvl w:ilvl="0" w:tplc="63C4BBEE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2B63A7"/>
    <w:multiLevelType w:val="hybridMultilevel"/>
    <w:tmpl w:val="32403722"/>
    <w:lvl w:ilvl="0" w:tplc="1540BE32">
      <w:start w:val="3"/>
      <w:numFmt w:val="decimal"/>
      <w:lvlText w:val="%1)"/>
      <w:lvlJc w:val="left"/>
      <w:pPr>
        <w:tabs>
          <w:tab w:val="num" w:pos="3285"/>
        </w:tabs>
        <w:ind w:left="328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05"/>
        </w:tabs>
        <w:ind w:left="40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25"/>
        </w:tabs>
        <w:ind w:left="47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5"/>
        </w:tabs>
        <w:ind w:left="54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65"/>
        </w:tabs>
        <w:ind w:left="61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85"/>
        </w:tabs>
        <w:ind w:left="68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05"/>
        </w:tabs>
        <w:ind w:left="76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25"/>
        </w:tabs>
        <w:ind w:left="83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45"/>
        </w:tabs>
        <w:ind w:left="9045" w:hanging="180"/>
      </w:pPr>
    </w:lvl>
  </w:abstractNum>
  <w:abstractNum w:abstractNumId="25">
    <w:nsid w:val="7044201E"/>
    <w:multiLevelType w:val="hybridMultilevel"/>
    <w:tmpl w:val="38A21B98"/>
    <w:lvl w:ilvl="0" w:tplc="13BEC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CC4107"/>
    <w:multiLevelType w:val="hybridMultilevel"/>
    <w:tmpl w:val="DEB42A3C"/>
    <w:lvl w:ilvl="0" w:tplc="882CAA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F352D0"/>
    <w:multiLevelType w:val="hybridMultilevel"/>
    <w:tmpl w:val="57AA78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2"/>
  </w:num>
  <w:num w:numId="13">
    <w:abstractNumId w:val="10"/>
  </w:num>
  <w:num w:numId="14">
    <w:abstractNumId w:val="7"/>
  </w:num>
  <w:num w:numId="15">
    <w:abstractNumId w:val="5"/>
  </w:num>
  <w:num w:numId="16">
    <w:abstractNumId w:val="25"/>
  </w:num>
  <w:num w:numId="17">
    <w:abstractNumId w:val="2"/>
  </w:num>
  <w:num w:numId="18">
    <w:abstractNumId w:val="15"/>
  </w:num>
  <w:num w:numId="19">
    <w:abstractNumId w:val="4"/>
  </w:num>
  <w:num w:numId="20">
    <w:abstractNumId w:val="3"/>
  </w:num>
  <w:num w:numId="21">
    <w:abstractNumId w:val="19"/>
  </w:num>
  <w:num w:numId="22">
    <w:abstractNumId w:val="13"/>
  </w:num>
  <w:num w:numId="23">
    <w:abstractNumId w:val="27"/>
  </w:num>
  <w:num w:numId="24">
    <w:abstractNumId w:val="24"/>
  </w:num>
  <w:num w:numId="25">
    <w:abstractNumId w:val="21"/>
  </w:num>
  <w:num w:numId="26">
    <w:abstractNumId w:val="1"/>
  </w:num>
  <w:num w:numId="27">
    <w:abstractNumId w:val="0"/>
  </w:num>
  <w:num w:numId="28">
    <w:abstractNumId w:val="9"/>
  </w:num>
  <w:num w:numId="29">
    <w:abstractNumId w:val="16"/>
  </w:num>
  <w:num w:numId="30">
    <w:abstractNumId w:val="26"/>
  </w:num>
  <w:num w:numId="31">
    <w:abstractNumId w:val="18"/>
  </w:num>
  <w:num w:numId="32">
    <w:abstractNumId w:val="1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34"/>
    <w:rsid w:val="003828B6"/>
    <w:rsid w:val="00382EA9"/>
    <w:rsid w:val="00420503"/>
    <w:rsid w:val="007B3B93"/>
    <w:rsid w:val="00911A2B"/>
    <w:rsid w:val="00986F1B"/>
    <w:rsid w:val="00EE049B"/>
    <w:rsid w:val="00F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eastAsia="Arial Unicode MS" w:cs="Arial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eastAsia="Arial Unicode MS" w:cs="Arial"/>
      <w:b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i/>
      <w:iCs/>
      <w:sz w:val="20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cs="Arial"/>
      <w:b/>
      <w:color w:val="000000"/>
      <w:sz w:val="20"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bCs/>
      <w:color w:val="000000"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bCs/>
      <w:color w:val="000000"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708"/>
      <w:jc w:val="both"/>
      <w:outlineLvl w:val="7"/>
    </w:pPr>
    <w:rPr>
      <w:b/>
      <w:bCs/>
      <w:i/>
      <w:iCs/>
      <w:u w:val="single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cs="Arial"/>
      <w:b/>
      <w:i/>
      <w:iCs/>
      <w:color w:val="00000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szCs w:val="20"/>
      <w:u w:val="single"/>
      <w:lang w:val="es-MX"/>
    </w:rPr>
  </w:style>
  <w:style w:type="paragraph" w:styleId="Textoindependiente2">
    <w:name w:val="Body Text 2"/>
    <w:basedOn w:val="Normal"/>
    <w:semiHidden/>
    <w:pPr>
      <w:spacing w:line="360" w:lineRule="auto"/>
    </w:pPr>
    <w:rPr>
      <w:rFonts w:cs="Arial"/>
      <w:b/>
      <w:i/>
      <w:iCs/>
      <w:sz w:val="20"/>
      <w:lang w:val="es-MX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/>
      <w:i/>
      <w:iCs/>
      <w:sz w:val="20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color w:val="000000"/>
      <w:lang w:val="es-MX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lang w:val="es-MX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cs="Arial"/>
      <w:bCs/>
      <w:color w:val="FF0000"/>
      <w:lang w:val="es-MX"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b/>
      <w:bCs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Saludo">
    <w:name w:val="Salutation"/>
    <w:basedOn w:val="Normal"/>
    <w:next w:val="Normal"/>
    <w:semiHidden/>
  </w:style>
  <w:style w:type="paragraph" w:styleId="Listaconvietas">
    <w:name w:val="List Bullet"/>
    <w:basedOn w:val="Normal"/>
    <w:autoRedefine/>
    <w:semiHidden/>
    <w:pPr>
      <w:numPr>
        <w:numId w:val="26"/>
      </w:numPr>
    </w:pPr>
  </w:style>
  <w:style w:type="paragraph" w:styleId="Listaconvietas2">
    <w:name w:val="List Bullet 2"/>
    <w:basedOn w:val="Normal"/>
    <w:autoRedefine/>
    <w:semiHidden/>
    <w:pPr>
      <w:numPr>
        <w:numId w:val="27"/>
      </w:numPr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Remiteabreviado">
    <w:name w:val="Remite abreviado"/>
    <w:basedOn w:val="Normal"/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eastAsia="Arial Unicode MS" w:cs="Arial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eastAsia="Arial Unicode MS" w:cs="Arial"/>
      <w:b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i/>
      <w:iCs/>
      <w:sz w:val="20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cs="Arial"/>
      <w:b/>
      <w:color w:val="000000"/>
      <w:sz w:val="20"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bCs/>
      <w:color w:val="000000"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bCs/>
      <w:color w:val="000000"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708"/>
      <w:jc w:val="both"/>
      <w:outlineLvl w:val="7"/>
    </w:pPr>
    <w:rPr>
      <w:b/>
      <w:bCs/>
      <w:i/>
      <w:iCs/>
      <w:u w:val="single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cs="Arial"/>
      <w:b/>
      <w:i/>
      <w:iCs/>
      <w:color w:val="00000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szCs w:val="20"/>
      <w:u w:val="single"/>
      <w:lang w:val="es-MX"/>
    </w:rPr>
  </w:style>
  <w:style w:type="paragraph" w:styleId="Textoindependiente2">
    <w:name w:val="Body Text 2"/>
    <w:basedOn w:val="Normal"/>
    <w:semiHidden/>
    <w:pPr>
      <w:spacing w:line="360" w:lineRule="auto"/>
    </w:pPr>
    <w:rPr>
      <w:rFonts w:cs="Arial"/>
      <w:b/>
      <w:i/>
      <w:iCs/>
      <w:sz w:val="20"/>
      <w:lang w:val="es-MX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/>
      <w:i/>
      <w:iCs/>
      <w:sz w:val="20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color w:val="000000"/>
      <w:lang w:val="es-MX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lang w:val="es-MX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cs="Arial"/>
      <w:bCs/>
      <w:color w:val="FF0000"/>
      <w:lang w:val="es-MX"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b/>
      <w:bCs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Saludo">
    <w:name w:val="Salutation"/>
    <w:basedOn w:val="Normal"/>
    <w:next w:val="Normal"/>
    <w:semiHidden/>
  </w:style>
  <w:style w:type="paragraph" w:styleId="Listaconvietas">
    <w:name w:val="List Bullet"/>
    <w:basedOn w:val="Normal"/>
    <w:autoRedefine/>
    <w:semiHidden/>
    <w:pPr>
      <w:numPr>
        <w:numId w:val="26"/>
      </w:numPr>
    </w:pPr>
  </w:style>
  <w:style w:type="paragraph" w:styleId="Listaconvietas2">
    <w:name w:val="List Bullet 2"/>
    <w:basedOn w:val="Normal"/>
    <w:autoRedefine/>
    <w:semiHidden/>
    <w:pPr>
      <w:numPr>
        <w:numId w:val="27"/>
      </w:numPr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Remiteabreviado">
    <w:name w:val="Remite abreviado"/>
    <w:basedOn w:val="Normal"/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PÚBLICA</vt:lpstr>
    </vt:vector>
  </TitlesOfParts>
  <Company>Informática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</dc:title>
  <dc:subject/>
  <dc:creator>Tribunal de Cuentas</dc:creator>
  <cp:keywords/>
  <cp:lastModifiedBy> </cp:lastModifiedBy>
  <cp:revision>3</cp:revision>
  <cp:lastPrinted>2014-01-22T11:42:00Z</cp:lastPrinted>
  <dcterms:created xsi:type="dcterms:W3CDTF">2014-01-22T11:43:00Z</dcterms:created>
  <dcterms:modified xsi:type="dcterms:W3CDTF">2014-02-12T16:42:00Z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-1030066445</vt:i4>
  </property>
</Properties>
</file>