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90" w:rsidRDefault="00C53D90">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C53D90" w:rsidRDefault="00C53D90">
      <w:pPr>
        <w:tabs>
          <w:tab w:val="left" w:pos="-720"/>
        </w:tabs>
        <w:suppressAutoHyphens/>
        <w:jc w:val="center"/>
        <w:rPr>
          <w:rFonts w:ascii="Helvetica" w:hAnsi="Helvetica"/>
          <w:b/>
          <w:lang w:val="es-ES_tradnl"/>
        </w:rPr>
      </w:pPr>
    </w:p>
    <w:p w:rsidR="00C53D90" w:rsidRDefault="00C53D90">
      <w:pPr>
        <w:tabs>
          <w:tab w:val="center" w:pos="4253"/>
        </w:tabs>
        <w:suppressAutoHyphens/>
        <w:jc w:val="center"/>
        <w:rPr>
          <w:rFonts w:ascii="Helvetica" w:hAnsi="Helvetica"/>
          <w:b/>
          <w:lang w:val="es-ES_tradnl"/>
        </w:rPr>
      </w:pPr>
      <w:r>
        <w:rPr>
          <w:rFonts w:ascii="Helvetica" w:hAnsi="Helvetica"/>
          <w:b/>
          <w:lang w:val="es-ES_tradnl"/>
        </w:rPr>
        <w:t>TRIBUNAL DE CUENTAS</w:t>
      </w:r>
    </w:p>
    <w:p w:rsidR="00C53D90" w:rsidRDefault="00C53D90">
      <w:pPr>
        <w:tabs>
          <w:tab w:val="left" w:pos="-720"/>
        </w:tabs>
        <w:suppressAutoHyphens/>
        <w:jc w:val="center"/>
        <w:rPr>
          <w:rFonts w:ascii="Helvetica" w:hAnsi="Helvetica"/>
          <w:b/>
          <w:lang w:val="es-ES_tradnl"/>
        </w:rPr>
      </w:pPr>
    </w:p>
    <w:p w:rsidR="00C53D90" w:rsidRDefault="00C53D90">
      <w:pPr>
        <w:tabs>
          <w:tab w:val="center" w:pos="4253"/>
        </w:tabs>
        <w:suppressAutoHyphens/>
        <w:jc w:val="center"/>
        <w:rPr>
          <w:rFonts w:ascii="Helvetica" w:hAnsi="Helvetica"/>
          <w:b/>
          <w:lang w:val="es-ES_tradnl"/>
        </w:rPr>
      </w:pPr>
      <w:r>
        <w:rPr>
          <w:rFonts w:ascii="Helvetica" w:hAnsi="Helvetica"/>
          <w:b/>
          <w:lang w:val="es-ES_tradnl"/>
        </w:rPr>
        <w:t>EN SESION DE FECHA  DE  15 DE ENERO  DE  2014</w:t>
      </w:r>
    </w:p>
    <w:p w:rsidR="00C53D90" w:rsidRDefault="00C53D90">
      <w:pPr>
        <w:tabs>
          <w:tab w:val="center" w:pos="4253"/>
        </w:tabs>
        <w:suppressAutoHyphens/>
        <w:jc w:val="center"/>
        <w:rPr>
          <w:rFonts w:ascii="Helvetica" w:hAnsi="Helvetica"/>
          <w:b/>
          <w:lang w:val="es-ES_tradnl"/>
        </w:rPr>
      </w:pPr>
    </w:p>
    <w:p w:rsidR="00C53D90" w:rsidRPr="00C53D90" w:rsidRDefault="00C53D90">
      <w:pPr>
        <w:tabs>
          <w:tab w:val="center" w:pos="4253"/>
        </w:tabs>
        <w:suppressAutoHyphens/>
        <w:jc w:val="center"/>
        <w:rPr>
          <w:rFonts w:ascii="Helvetica" w:hAnsi="Helvetica"/>
          <w:b/>
          <w:lang w:val="es-UY"/>
        </w:rPr>
      </w:pPr>
      <w:r w:rsidRPr="00C53D90">
        <w:rPr>
          <w:rFonts w:ascii="Helvetica" w:hAnsi="Helvetica"/>
          <w:b/>
          <w:lang w:val="es-UY"/>
        </w:rPr>
        <w:t xml:space="preserve">(E. E. Nº 2013-17-1-0006454, </w:t>
      </w:r>
      <w:proofErr w:type="spellStart"/>
      <w:r w:rsidRPr="00C53D90">
        <w:rPr>
          <w:rFonts w:ascii="Helvetica" w:hAnsi="Helvetica"/>
          <w:b/>
          <w:lang w:val="es-UY"/>
        </w:rPr>
        <w:t>Ent</w:t>
      </w:r>
      <w:proofErr w:type="spellEnd"/>
      <w:r w:rsidRPr="00C53D90">
        <w:rPr>
          <w:rFonts w:ascii="Helvetica" w:hAnsi="Helvetica"/>
          <w:b/>
          <w:lang w:val="es-UY"/>
        </w:rPr>
        <w:t>. N° 5637/13.)</w:t>
      </w:r>
    </w:p>
    <w:p w:rsidR="00C53D90" w:rsidRPr="00C53D90" w:rsidRDefault="00C53D90">
      <w:pPr>
        <w:tabs>
          <w:tab w:val="center" w:pos="4253"/>
        </w:tabs>
        <w:suppressAutoHyphens/>
        <w:jc w:val="center"/>
        <w:rPr>
          <w:spacing w:val="-3"/>
          <w:lang w:val="es-UY"/>
        </w:rPr>
      </w:pPr>
    </w:p>
    <w:p w:rsidR="00C53D90" w:rsidRPr="00C53D90" w:rsidRDefault="00C53D90">
      <w:pPr>
        <w:rPr>
          <w:lang w:val="es-UY"/>
        </w:rPr>
      </w:pPr>
    </w:p>
    <w:p w:rsidR="00C53D90" w:rsidRPr="00C53D90" w:rsidRDefault="00C53D90">
      <w:pPr>
        <w:rPr>
          <w:lang w:val="es-UY"/>
        </w:rPr>
      </w:pPr>
    </w:p>
    <w:p w:rsidR="00764CFA" w:rsidRPr="002142B3" w:rsidRDefault="0029007C" w:rsidP="00C53D90">
      <w:pPr>
        <w:spacing w:line="360" w:lineRule="auto"/>
        <w:ind w:firstLine="709"/>
        <w:jc w:val="both"/>
        <w:rPr>
          <w:bCs/>
          <w:lang w:val="es-MX"/>
        </w:rPr>
      </w:pPr>
      <w:r w:rsidRPr="00764CFA">
        <w:rPr>
          <w:b/>
          <w:lang w:val="es-MX"/>
        </w:rPr>
        <w:t>VISTO:</w:t>
      </w:r>
      <w:r w:rsidRPr="00764CFA">
        <w:rPr>
          <w:bCs/>
          <w:lang w:val="es-MX"/>
        </w:rPr>
        <w:t xml:space="preserve"> las </w:t>
      </w:r>
      <w:r w:rsidR="00600995" w:rsidRPr="00764CFA">
        <w:rPr>
          <w:bCs/>
          <w:lang w:val="es-MX"/>
        </w:rPr>
        <w:t xml:space="preserve">nuevas </w:t>
      </w:r>
      <w:r w:rsidRPr="00764CFA">
        <w:rPr>
          <w:bCs/>
          <w:lang w:val="es-MX"/>
        </w:rPr>
        <w:t xml:space="preserve">actuaciones remitidas por la Administración de Usinas y Transmisiones </w:t>
      </w:r>
      <w:r w:rsidRPr="002142B3">
        <w:rPr>
          <w:bCs/>
          <w:lang w:val="es-MX"/>
        </w:rPr>
        <w:t xml:space="preserve">Eléctricas (UTE), relacionadas con la Licitación Pública N° </w:t>
      </w:r>
      <w:r w:rsidR="00764CFA" w:rsidRPr="002142B3">
        <w:rPr>
          <w:bCs/>
          <w:lang w:val="es-MX"/>
        </w:rPr>
        <w:t>P44754 para el a</w:t>
      </w:r>
      <w:proofErr w:type="spellStart"/>
      <w:r w:rsidR="00764CFA" w:rsidRPr="002142B3">
        <w:t>rrendamiento</w:t>
      </w:r>
      <w:proofErr w:type="spellEnd"/>
      <w:r w:rsidR="00764CFA" w:rsidRPr="002142B3">
        <w:t xml:space="preserve"> de vehículos sin chofer (5 ítems);</w:t>
      </w:r>
    </w:p>
    <w:p w:rsidR="00600995" w:rsidRPr="002142B3" w:rsidRDefault="0029007C" w:rsidP="00C53D90">
      <w:pPr>
        <w:pStyle w:val="Textoindependiente"/>
        <w:ind w:firstLine="709"/>
        <w:rPr>
          <w:i w:val="0"/>
          <w:iCs w:val="0"/>
          <w:sz w:val="24"/>
        </w:rPr>
      </w:pPr>
      <w:r w:rsidRPr="002142B3">
        <w:rPr>
          <w:b/>
          <w:i w:val="0"/>
          <w:iCs w:val="0"/>
          <w:sz w:val="24"/>
        </w:rPr>
        <w:t xml:space="preserve">RESULTANDO: 1) </w:t>
      </w:r>
      <w:r w:rsidR="00600995" w:rsidRPr="002142B3">
        <w:rPr>
          <w:i w:val="0"/>
          <w:iCs w:val="0"/>
          <w:sz w:val="24"/>
        </w:rPr>
        <w:t xml:space="preserve">que se efectuó la publicación del </w:t>
      </w:r>
      <w:r w:rsidR="00685F7D">
        <w:rPr>
          <w:i w:val="0"/>
          <w:iCs w:val="0"/>
          <w:sz w:val="24"/>
        </w:rPr>
        <w:t>L</w:t>
      </w:r>
      <w:r w:rsidR="00600995" w:rsidRPr="002142B3">
        <w:rPr>
          <w:i w:val="0"/>
          <w:iCs w:val="0"/>
          <w:sz w:val="24"/>
        </w:rPr>
        <w:t>lamado en la página web</w:t>
      </w:r>
      <w:r w:rsidR="002142B3" w:rsidRPr="002142B3">
        <w:rPr>
          <w:i w:val="0"/>
          <w:iCs w:val="0"/>
          <w:sz w:val="24"/>
        </w:rPr>
        <w:t xml:space="preserve"> de compras estatales el 21/5/13 y en el  Diario Oficial el 24/5/13</w:t>
      </w:r>
      <w:r w:rsidR="00600995" w:rsidRPr="002142B3">
        <w:rPr>
          <w:i w:val="0"/>
          <w:iCs w:val="0"/>
          <w:sz w:val="24"/>
        </w:rPr>
        <w:t>, fijándose la aper</w:t>
      </w:r>
      <w:r w:rsidR="002142B3" w:rsidRPr="002142B3">
        <w:rPr>
          <w:i w:val="0"/>
          <w:iCs w:val="0"/>
          <w:sz w:val="24"/>
        </w:rPr>
        <w:t>tura de ofertas para el 14/6/13, con antelación suficiente;</w:t>
      </w:r>
    </w:p>
    <w:p w:rsidR="002142B3" w:rsidRPr="00700FD7" w:rsidRDefault="00700FD7" w:rsidP="00C53D90">
      <w:pPr>
        <w:pStyle w:val="Textoindependiente"/>
        <w:ind w:firstLine="709"/>
        <w:rPr>
          <w:b/>
          <w:i w:val="0"/>
          <w:color w:val="FF0000"/>
          <w:u w:val="single"/>
          <w:lang w:val="es-ES_tradnl"/>
        </w:rPr>
      </w:pPr>
      <w:r>
        <w:rPr>
          <w:i w:val="0"/>
          <w:iCs w:val="0"/>
          <w:sz w:val="24"/>
        </w:rPr>
        <w:t xml:space="preserve">         </w:t>
      </w:r>
      <w:r w:rsidR="002142B3" w:rsidRPr="002142B3">
        <w:rPr>
          <w:i w:val="0"/>
          <w:iCs w:val="0"/>
          <w:sz w:val="24"/>
        </w:rPr>
        <w:t xml:space="preserve">                        </w:t>
      </w:r>
      <w:r w:rsidR="002142B3" w:rsidRPr="002142B3">
        <w:rPr>
          <w:b/>
          <w:i w:val="0"/>
          <w:iCs w:val="0"/>
          <w:sz w:val="24"/>
        </w:rPr>
        <w:t>2)</w:t>
      </w:r>
      <w:r w:rsidR="002142B3" w:rsidRPr="002142B3">
        <w:rPr>
          <w:i w:val="0"/>
          <w:iCs w:val="0"/>
          <w:sz w:val="24"/>
        </w:rPr>
        <w:t xml:space="preserve"> que luego de disponer prórrogas de fecha de apertura, el acto de apertura de ofertas se celebró el 9/7/13</w:t>
      </w:r>
      <w:r w:rsidR="00B5257C">
        <w:rPr>
          <w:i w:val="0"/>
          <w:iCs w:val="0"/>
          <w:sz w:val="24"/>
        </w:rPr>
        <w:t>,</w:t>
      </w:r>
      <w:r>
        <w:rPr>
          <w:i w:val="0"/>
          <w:iCs w:val="0"/>
          <w:sz w:val="24"/>
        </w:rPr>
        <w:t xml:space="preserve"> pre</w:t>
      </w:r>
      <w:r w:rsidR="00B5257C">
        <w:rPr>
          <w:i w:val="0"/>
          <w:iCs w:val="0"/>
          <w:sz w:val="24"/>
        </w:rPr>
        <w:t>sentándose</w:t>
      </w:r>
      <w:r>
        <w:rPr>
          <w:i w:val="0"/>
          <w:iCs w:val="0"/>
          <w:sz w:val="24"/>
        </w:rPr>
        <w:t xml:space="preserve"> las </w:t>
      </w:r>
      <w:r w:rsidR="00685F7D">
        <w:rPr>
          <w:i w:val="0"/>
          <w:iCs w:val="0"/>
          <w:sz w:val="24"/>
        </w:rPr>
        <w:t>F</w:t>
      </w:r>
      <w:r>
        <w:rPr>
          <w:i w:val="0"/>
          <w:iCs w:val="0"/>
          <w:sz w:val="24"/>
        </w:rPr>
        <w:t xml:space="preserve">irmas </w:t>
      </w:r>
      <w:proofErr w:type="spellStart"/>
      <w:r w:rsidRPr="00700FD7">
        <w:rPr>
          <w:bCs w:val="0"/>
          <w:i w:val="0"/>
          <w:sz w:val="24"/>
          <w:lang w:val="es-ES_tradnl"/>
        </w:rPr>
        <w:t>Olecram</w:t>
      </w:r>
      <w:proofErr w:type="spellEnd"/>
      <w:r w:rsidRPr="00700FD7">
        <w:rPr>
          <w:bCs w:val="0"/>
          <w:i w:val="0"/>
          <w:sz w:val="24"/>
          <w:lang w:val="es-ES_tradnl"/>
        </w:rPr>
        <w:t xml:space="preserve"> S.A. (</w:t>
      </w:r>
      <w:proofErr w:type="spellStart"/>
      <w:r w:rsidRPr="00700FD7">
        <w:rPr>
          <w:bCs w:val="0"/>
          <w:i w:val="0"/>
          <w:sz w:val="24"/>
          <w:lang w:val="es-ES_tradnl"/>
        </w:rPr>
        <w:t>National</w:t>
      </w:r>
      <w:proofErr w:type="spellEnd"/>
      <w:r w:rsidRPr="00700FD7">
        <w:rPr>
          <w:bCs w:val="0"/>
          <w:i w:val="0"/>
          <w:sz w:val="24"/>
          <w:lang w:val="es-ES_tradnl"/>
        </w:rPr>
        <w:t xml:space="preserve"> </w:t>
      </w:r>
      <w:proofErr w:type="spellStart"/>
      <w:r w:rsidRPr="00700FD7">
        <w:rPr>
          <w:bCs w:val="0"/>
          <w:i w:val="0"/>
          <w:sz w:val="24"/>
          <w:lang w:val="es-ES_tradnl"/>
        </w:rPr>
        <w:t>Rent</w:t>
      </w:r>
      <w:proofErr w:type="spellEnd"/>
      <w:r w:rsidRPr="00700FD7">
        <w:rPr>
          <w:bCs w:val="0"/>
          <w:i w:val="0"/>
          <w:sz w:val="24"/>
          <w:lang w:val="es-ES_tradnl"/>
        </w:rPr>
        <w:t xml:space="preserve"> a Car)</w:t>
      </w:r>
      <w:r>
        <w:rPr>
          <w:bCs w:val="0"/>
          <w:i w:val="0"/>
          <w:sz w:val="24"/>
          <w:lang w:val="es-ES_tradnl"/>
        </w:rPr>
        <w:t xml:space="preserve"> y </w:t>
      </w:r>
      <w:proofErr w:type="spellStart"/>
      <w:r w:rsidRPr="00700FD7">
        <w:rPr>
          <w:i w:val="0"/>
          <w:sz w:val="24"/>
          <w:lang w:val="es-ES_tradnl"/>
        </w:rPr>
        <w:t>Celmu</w:t>
      </w:r>
      <w:proofErr w:type="spellEnd"/>
      <w:r w:rsidRPr="00700FD7">
        <w:rPr>
          <w:i w:val="0"/>
          <w:sz w:val="24"/>
          <w:lang w:val="es-ES_tradnl"/>
        </w:rPr>
        <w:t xml:space="preserve"> S.A. (</w:t>
      </w:r>
      <w:proofErr w:type="spellStart"/>
      <w:r w:rsidRPr="00700FD7">
        <w:rPr>
          <w:i w:val="0"/>
          <w:sz w:val="24"/>
          <w:lang w:val="es-ES_tradnl"/>
        </w:rPr>
        <w:t>Multicar</w:t>
      </w:r>
      <w:proofErr w:type="spellEnd"/>
      <w:r w:rsidRPr="00700FD7">
        <w:rPr>
          <w:i w:val="0"/>
          <w:sz w:val="24"/>
          <w:lang w:val="es-ES_tradnl"/>
        </w:rPr>
        <w:t xml:space="preserve"> </w:t>
      </w:r>
      <w:proofErr w:type="spellStart"/>
      <w:r w:rsidRPr="00700FD7">
        <w:rPr>
          <w:i w:val="0"/>
          <w:sz w:val="24"/>
          <w:lang w:val="es-ES_tradnl"/>
        </w:rPr>
        <w:t>Rent</w:t>
      </w:r>
      <w:proofErr w:type="spellEnd"/>
      <w:r w:rsidRPr="00700FD7">
        <w:rPr>
          <w:i w:val="0"/>
          <w:sz w:val="24"/>
          <w:lang w:val="es-ES_tradnl"/>
        </w:rPr>
        <w:t xml:space="preserve"> a Car)</w:t>
      </w:r>
      <w:r>
        <w:rPr>
          <w:i w:val="0"/>
          <w:sz w:val="24"/>
          <w:lang w:val="es-ES_tradnl"/>
        </w:rPr>
        <w:t>;</w:t>
      </w:r>
    </w:p>
    <w:p w:rsidR="002142B3" w:rsidRPr="008C66A1" w:rsidRDefault="00700FD7" w:rsidP="00C53D90">
      <w:pPr>
        <w:spacing w:line="360" w:lineRule="auto"/>
        <w:jc w:val="both"/>
        <w:rPr>
          <w:b/>
          <w:u w:val="single"/>
          <w:lang w:val="es-MX"/>
        </w:rPr>
      </w:pPr>
      <w:r>
        <w:rPr>
          <w:iCs/>
        </w:rPr>
        <w:t xml:space="preserve">      </w:t>
      </w:r>
      <w:r w:rsidRPr="00700FD7">
        <w:rPr>
          <w:iCs/>
        </w:rPr>
        <w:t xml:space="preserve">                                </w:t>
      </w:r>
      <w:r>
        <w:rPr>
          <w:iCs/>
        </w:rPr>
        <w:t xml:space="preserve">       </w:t>
      </w:r>
      <w:r w:rsidRPr="00700FD7">
        <w:rPr>
          <w:iCs/>
        </w:rPr>
        <w:t xml:space="preserve"> </w:t>
      </w:r>
      <w:r w:rsidRPr="00700FD7">
        <w:rPr>
          <w:b/>
          <w:iCs/>
        </w:rPr>
        <w:t>3)</w:t>
      </w:r>
      <w:r w:rsidRPr="00700FD7">
        <w:rPr>
          <w:iCs/>
        </w:rPr>
        <w:t xml:space="preserve"> </w:t>
      </w:r>
      <w:r w:rsidRPr="00B5257C">
        <w:rPr>
          <w:iCs/>
        </w:rPr>
        <w:t>que</w:t>
      </w:r>
      <w:r w:rsidRPr="00B5257C">
        <w:rPr>
          <w:b/>
          <w:iCs/>
          <w:lang w:val="es-ES_tradnl"/>
        </w:rPr>
        <w:t xml:space="preserve"> </w:t>
      </w:r>
      <w:r w:rsidRPr="00B5257C">
        <w:rPr>
          <w:iCs/>
          <w:lang w:val="es-ES_tradnl"/>
        </w:rPr>
        <w:t>con f</w:t>
      </w:r>
      <w:r w:rsidRPr="00B5257C">
        <w:rPr>
          <w:lang w:val="es-MX"/>
        </w:rPr>
        <w:t>echa 4/9/13,</w:t>
      </w:r>
      <w:r>
        <w:rPr>
          <w:lang w:val="es-MX"/>
        </w:rPr>
        <w:t xml:space="preserve"> la </w:t>
      </w:r>
      <w:r w:rsidR="002142B3" w:rsidRPr="00700FD7">
        <w:rPr>
          <w:lang w:val="es-MX"/>
        </w:rPr>
        <w:t>Escribana de Su</w:t>
      </w:r>
      <w:r>
        <w:rPr>
          <w:lang w:val="es-MX"/>
        </w:rPr>
        <w:t>bgerencia Asuntos Contractuales r</w:t>
      </w:r>
      <w:r w:rsidR="002142B3" w:rsidRPr="008C66A1">
        <w:rPr>
          <w:lang w:val="es-MX"/>
        </w:rPr>
        <w:t>ealizó informe indicando que se entregó copia autenticada del certificado notarial extendido con fecha 18/10/11, mediante el cual se acredita la per</w:t>
      </w:r>
      <w:r w:rsidR="00685F7D">
        <w:rPr>
          <w:lang w:val="es-MX"/>
        </w:rPr>
        <w:t xml:space="preserve">sonería jurídica de </w:t>
      </w:r>
      <w:proofErr w:type="spellStart"/>
      <w:r w:rsidR="00685F7D">
        <w:rPr>
          <w:lang w:val="es-MX"/>
        </w:rPr>
        <w:t>Celmu</w:t>
      </w:r>
      <w:proofErr w:type="spellEnd"/>
      <w:r w:rsidR="00685F7D">
        <w:rPr>
          <w:lang w:val="es-MX"/>
        </w:rPr>
        <w:t xml:space="preserve"> S.A., </w:t>
      </w:r>
      <w:r w:rsidR="002142B3" w:rsidRPr="008C66A1">
        <w:rPr>
          <w:lang w:val="es-MX"/>
        </w:rPr>
        <w:t xml:space="preserve">y representación invocada por el firmante (Sr. Juan </w:t>
      </w:r>
      <w:proofErr w:type="spellStart"/>
      <w:r w:rsidR="002142B3" w:rsidRPr="008C66A1">
        <w:rPr>
          <w:lang w:val="es-MX"/>
        </w:rPr>
        <w:t>Benenati</w:t>
      </w:r>
      <w:proofErr w:type="spellEnd"/>
      <w:r w:rsidR="002142B3" w:rsidRPr="008C66A1">
        <w:rPr>
          <w:lang w:val="es-MX"/>
        </w:rPr>
        <w:t xml:space="preserve"> Dorado), destacándose que al día de la fecha no surge de los registros del Organismo, modificación, sustitución o revocaci</w:t>
      </w:r>
      <w:r>
        <w:rPr>
          <w:lang w:val="es-MX"/>
        </w:rPr>
        <w:t>ón de la referida documentación;</w:t>
      </w:r>
    </w:p>
    <w:p w:rsidR="002142B3" w:rsidRDefault="00700FD7" w:rsidP="002142B3">
      <w:pPr>
        <w:spacing w:line="360" w:lineRule="auto"/>
        <w:jc w:val="both"/>
        <w:rPr>
          <w:lang w:val="es-MX"/>
        </w:rPr>
      </w:pPr>
      <w:r>
        <w:rPr>
          <w:iCs/>
        </w:rPr>
        <w:t xml:space="preserve">      </w:t>
      </w:r>
      <w:r w:rsidRPr="00700FD7">
        <w:rPr>
          <w:iCs/>
        </w:rPr>
        <w:t xml:space="preserve">                                </w:t>
      </w:r>
      <w:r>
        <w:rPr>
          <w:iCs/>
        </w:rPr>
        <w:t xml:space="preserve">    </w:t>
      </w:r>
      <w:r>
        <w:rPr>
          <w:b/>
          <w:iCs/>
        </w:rPr>
        <w:t>4</w:t>
      </w:r>
      <w:r w:rsidRPr="00700FD7">
        <w:rPr>
          <w:b/>
          <w:iCs/>
        </w:rPr>
        <w:t>)</w:t>
      </w:r>
      <w:r w:rsidRPr="00700FD7">
        <w:rPr>
          <w:iCs/>
        </w:rPr>
        <w:t xml:space="preserve"> que</w:t>
      </w:r>
      <w:r>
        <w:rPr>
          <w:iCs/>
        </w:rPr>
        <w:t xml:space="preserve"> la Comisión Asesora emitió su dictamen el </w:t>
      </w:r>
      <w:r w:rsidR="002142B3" w:rsidRPr="008C66A1">
        <w:rPr>
          <w:lang w:val="es-MX"/>
        </w:rPr>
        <w:t>9/9/13</w:t>
      </w:r>
      <w:r>
        <w:rPr>
          <w:lang w:val="es-MX"/>
        </w:rPr>
        <w:t xml:space="preserve">, </w:t>
      </w:r>
      <w:r w:rsidR="002142B3" w:rsidRPr="008C66A1">
        <w:rPr>
          <w:lang w:val="es-MX"/>
        </w:rPr>
        <w:t>indicando que</w:t>
      </w:r>
      <w:r w:rsidR="002142B3">
        <w:rPr>
          <w:lang w:val="es-MX"/>
        </w:rPr>
        <w:t>:</w:t>
      </w:r>
    </w:p>
    <w:p w:rsidR="00C94168" w:rsidRDefault="002142B3" w:rsidP="00C94168">
      <w:pPr>
        <w:numPr>
          <w:ilvl w:val="1"/>
          <w:numId w:val="36"/>
        </w:numPr>
        <w:spacing w:line="360" w:lineRule="auto"/>
        <w:jc w:val="both"/>
        <w:rPr>
          <w:lang w:val="es-MX"/>
        </w:rPr>
      </w:pPr>
      <w:proofErr w:type="spellStart"/>
      <w:r>
        <w:rPr>
          <w:lang w:val="es-MX"/>
        </w:rPr>
        <w:t>Olecram</w:t>
      </w:r>
      <w:proofErr w:type="spellEnd"/>
      <w:r>
        <w:rPr>
          <w:lang w:val="es-MX"/>
        </w:rPr>
        <w:t xml:space="preserve"> no cumple con la permanencia de la marca en el mercado automotor uruguayo de 10 años de las dos cotizadas. De la consulta efectuada a </w:t>
      </w:r>
      <w:proofErr w:type="spellStart"/>
      <w:r>
        <w:rPr>
          <w:lang w:val="es-MX"/>
        </w:rPr>
        <w:t>Ascoma</w:t>
      </w:r>
      <w:proofErr w:type="spellEnd"/>
      <w:r>
        <w:rPr>
          <w:lang w:val="es-MX"/>
        </w:rPr>
        <w:t xml:space="preserve"> (Asociación</w:t>
      </w:r>
      <w:r w:rsidRPr="008C66A1">
        <w:rPr>
          <w:lang w:val="es-MX"/>
        </w:rPr>
        <w:t xml:space="preserve"> </w:t>
      </w:r>
      <w:r>
        <w:rPr>
          <w:lang w:val="es-MX"/>
        </w:rPr>
        <w:t xml:space="preserve">de Concesionarios y Marcas </w:t>
      </w:r>
      <w:r>
        <w:rPr>
          <w:lang w:val="es-MX"/>
        </w:rPr>
        <w:lastRenderedPageBreak/>
        <w:t xml:space="preserve">Automotores), se pudo constatar que no registran ventas anteriores al 2006, por </w:t>
      </w:r>
      <w:r w:rsidR="00B5257C">
        <w:rPr>
          <w:lang w:val="es-MX"/>
        </w:rPr>
        <w:t>lo que se descarta dicha oferta,</w:t>
      </w:r>
    </w:p>
    <w:p w:rsidR="001F7A90" w:rsidRDefault="002142B3" w:rsidP="001F7A90">
      <w:pPr>
        <w:numPr>
          <w:ilvl w:val="1"/>
          <w:numId w:val="36"/>
        </w:numPr>
        <w:spacing w:line="360" w:lineRule="auto"/>
        <w:jc w:val="both"/>
        <w:rPr>
          <w:lang w:val="es-MX"/>
        </w:rPr>
      </w:pPr>
      <w:r w:rsidRPr="00C94168">
        <w:rPr>
          <w:lang w:val="es-MX"/>
        </w:rPr>
        <w:t xml:space="preserve">Analizada la propuesta de </w:t>
      </w:r>
      <w:proofErr w:type="spellStart"/>
      <w:r w:rsidRPr="00C94168">
        <w:rPr>
          <w:lang w:val="es-MX"/>
        </w:rPr>
        <w:t>Celmu</w:t>
      </w:r>
      <w:proofErr w:type="spellEnd"/>
      <w:r w:rsidRPr="00C94168">
        <w:rPr>
          <w:lang w:val="es-MX"/>
        </w:rPr>
        <w:t xml:space="preserve"> S.A., se determina que cumple con los requisitos excluyentes establecidos. Se estableció el comparativo de precios, teniendo en cuenta los cotizados también por </w:t>
      </w:r>
      <w:proofErr w:type="spellStart"/>
      <w:r w:rsidRPr="00C94168">
        <w:rPr>
          <w:lang w:val="es-MX"/>
        </w:rPr>
        <w:t>Olecram</w:t>
      </w:r>
      <w:proofErr w:type="spellEnd"/>
      <w:r w:rsidRPr="00C94168">
        <w:rPr>
          <w:lang w:val="es-MX"/>
        </w:rPr>
        <w:t xml:space="preserve"> a </w:t>
      </w:r>
      <w:r w:rsidR="00B5257C">
        <w:rPr>
          <w:lang w:val="es-MX"/>
        </w:rPr>
        <w:t>los únicos efectos expositivos</w:t>
      </w:r>
      <w:r w:rsidR="00A63F2F">
        <w:rPr>
          <w:lang w:val="es-MX"/>
        </w:rPr>
        <w:t xml:space="preserve">. En dicho comparativo se incluyeron los precios de </w:t>
      </w:r>
      <w:proofErr w:type="spellStart"/>
      <w:r w:rsidR="00A63F2F">
        <w:rPr>
          <w:lang w:val="es-MX"/>
        </w:rPr>
        <w:t>Celmu</w:t>
      </w:r>
      <w:proofErr w:type="spellEnd"/>
      <w:r w:rsidR="00A63F2F">
        <w:rPr>
          <w:lang w:val="es-MX"/>
        </w:rPr>
        <w:t xml:space="preserve"> S.A., con un 10 % de descuento, ya que en su oferta ofreció dicho descuento si se le adjudicaba la totalidad de ítems;</w:t>
      </w:r>
    </w:p>
    <w:p w:rsidR="002142B3" w:rsidRPr="001F7A90" w:rsidRDefault="002142B3" w:rsidP="001F7A90">
      <w:pPr>
        <w:numPr>
          <w:ilvl w:val="1"/>
          <w:numId w:val="36"/>
        </w:numPr>
        <w:spacing w:line="360" w:lineRule="auto"/>
        <w:jc w:val="both"/>
        <w:rPr>
          <w:lang w:val="es-MX"/>
        </w:rPr>
      </w:pPr>
      <w:r w:rsidRPr="001F7A90">
        <w:rPr>
          <w:lang w:val="es-MX"/>
        </w:rPr>
        <w:t xml:space="preserve">Una vez analizadas las actuaciones, se sugiere adjudicar a </w:t>
      </w:r>
      <w:proofErr w:type="spellStart"/>
      <w:r w:rsidRPr="001F7A90">
        <w:rPr>
          <w:lang w:val="es-MX"/>
        </w:rPr>
        <w:t>Celmu</w:t>
      </w:r>
      <w:proofErr w:type="spellEnd"/>
      <w:r w:rsidRPr="001F7A90">
        <w:rPr>
          <w:lang w:val="es-MX"/>
        </w:rPr>
        <w:t xml:space="preserve"> S.A., según el siguiente detalle: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801"/>
        <w:gridCol w:w="2789"/>
      </w:tblGrid>
      <w:tr w:rsidR="002142B3" w:rsidRPr="00A267E1" w:rsidTr="001F7A90">
        <w:tc>
          <w:tcPr>
            <w:tcW w:w="2314" w:type="dxa"/>
            <w:shd w:val="clear" w:color="auto" w:fill="auto"/>
          </w:tcPr>
          <w:p w:rsidR="002142B3" w:rsidRPr="00A267E1" w:rsidRDefault="002142B3" w:rsidP="00DC445D">
            <w:pPr>
              <w:spacing w:line="360" w:lineRule="auto"/>
              <w:jc w:val="center"/>
              <w:rPr>
                <w:b/>
                <w:sz w:val="22"/>
                <w:szCs w:val="22"/>
                <w:lang w:val="es-MX"/>
              </w:rPr>
            </w:pPr>
            <w:r w:rsidRPr="00A267E1">
              <w:rPr>
                <w:b/>
                <w:sz w:val="22"/>
                <w:szCs w:val="22"/>
                <w:lang w:val="es-MX"/>
              </w:rPr>
              <w:t>ÍTEM</w:t>
            </w:r>
          </w:p>
        </w:tc>
        <w:tc>
          <w:tcPr>
            <w:tcW w:w="2801" w:type="dxa"/>
            <w:shd w:val="clear" w:color="auto" w:fill="auto"/>
          </w:tcPr>
          <w:p w:rsidR="002142B3" w:rsidRPr="00A267E1" w:rsidRDefault="002142B3" w:rsidP="00DC445D">
            <w:pPr>
              <w:spacing w:line="360" w:lineRule="auto"/>
              <w:jc w:val="center"/>
              <w:rPr>
                <w:b/>
                <w:sz w:val="22"/>
                <w:szCs w:val="22"/>
                <w:lang w:val="es-MX"/>
              </w:rPr>
            </w:pPr>
            <w:r w:rsidRPr="00A267E1">
              <w:rPr>
                <w:b/>
                <w:sz w:val="22"/>
                <w:szCs w:val="22"/>
                <w:lang w:val="es-MX"/>
              </w:rPr>
              <w:t>PRECIO UNITARIO MENSUAL EN U$S</w:t>
            </w:r>
          </w:p>
        </w:tc>
        <w:tc>
          <w:tcPr>
            <w:tcW w:w="2789" w:type="dxa"/>
            <w:shd w:val="clear" w:color="auto" w:fill="auto"/>
          </w:tcPr>
          <w:p w:rsidR="002142B3" w:rsidRPr="00A267E1" w:rsidRDefault="002142B3" w:rsidP="00DC445D">
            <w:pPr>
              <w:spacing w:line="360" w:lineRule="auto"/>
              <w:jc w:val="center"/>
              <w:rPr>
                <w:b/>
                <w:sz w:val="22"/>
                <w:szCs w:val="22"/>
                <w:lang w:val="es-MX"/>
              </w:rPr>
            </w:pPr>
            <w:r w:rsidRPr="00A267E1">
              <w:rPr>
                <w:b/>
                <w:sz w:val="22"/>
                <w:szCs w:val="22"/>
                <w:lang w:val="es-MX"/>
              </w:rPr>
              <w:t>PRECIO TOTAL 48 MESES EN U$S</w:t>
            </w:r>
          </w:p>
        </w:tc>
      </w:tr>
      <w:tr w:rsidR="002142B3" w:rsidRPr="00A267E1" w:rsidTr="001F7A90">
        <w:tc>
          <w:tcPr>
            <w:tcW w:w="2314"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w:t>
            </w:r>
          </w:p>
        </w:tc>
        <w:tc>
          <w:tcPr>
            <w:tcW w:w="280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643</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401.232</w:t>
            </w:r>
          </w:p>
        </w:tc>
      </w:tr>
      <w:tr w:rsidR="002142B3" w:rsidRPr="00A267E1" w:rsidTr="001F7A90">
        <w:tc>
          <w:tcPr>
            <w:tcW w:w="2314"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2</w:t>
            </w:r>
          </w:p>
        </w:tc>
        <w:tc>
          <w:tcPr>
            <w:tcW w:w="280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1.089</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156.816</w:t>
            </w:r>
          </w:p>
        </w:tc>
      </w:tr>
      <w:tr w:rsidR="002142B3" w:rsidRPr="00A267E1" w:rsidTr="001F7A90">
        <w:tc>
          <w:tcPr>
            <w:tcW w:w="2314"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3</w:t>
            </w:r>
          </w:p>
        </w:tc>
        <w:tc>
          <w:tcPr>
            <w:tcW w:w="280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1.188</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798.336</w:t>
            </w:r>
          </w:p>
        </w:tc>
      </w:tr>
      <w:tr w:rsidR="002142B3" w:rsidRPr="00A267E1" w:rsidTr="001F7A90">
        <w:tc>
          <w:tcPr>
            <w:tcW w:w="2314"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4</w:t>
            </w:r>
          </w:p>
        </w:tc>
        <w:tc>
          <w:tcPr>
            <w:tcW w:w="280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1.593</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305.856</w:t>
            </w:r>
          </w:p>
        </w:tc>
      </w:tr>
      <w:tr w:rsidR="002142B3" w:rsidRPr="00A267E1" w:rsidTr="001F7A90">
        <w:tc>
          <w:tcPr>
            <w:tcW w:w="2314"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5</w:t>
            </w:r>
          </w:p>
        </w:tc>
        <w:tc>
          <w:tcPr>
            <w:tcW w:w="2801" w:type="dxa"/>
            <w:shd w:val="clear" w:color="auto" w:fill="auto"/>
          </w:tcPr>
          <w:p w:rsidR="002142B3" w:rsidRPr="00A267E1" w:rsidRDefault="002142B3" w:rsidP="00DC445D">
            <w:pPr>
              <w:spacing w:line="360" w:lineRule="auto"/>
              <w:jc w:val="center"/>
              <w:rPr>
                <w:sz w:val="22"/>
                <w:szCs w:val="22"/>
                <w:lang w:val="es-MX"/>
              </w:rPr>
            </w:pPr>
            <w:r>
              <w:rPr>
                <w:sz w:val="22"/>
                <w:szCs w:val="22"/>
                <w:lang w:val="es-MX"/>
              </w:rPr>
              <w:t>693</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299.376</w:t>
            </w:r>
          </w:p>
        </w:tc>
      </w:tr>
    </w:tbl>
    <w:p w:rsidR="008325FA" w:rsidRDefault="004631D8" w:rsidP="002142B3">
      <w:pPr>
        <w:spacing w:line="360" w:lineRule="auto"/>
        <w:jc w:val="both"/>
        <w:rPr>
          <w:iCs/>
        </w:rPr>
      </w:pPr>
      <w:r>
        <w:rPr>
          <w:iCs/>
        </w:rPr>
        <w:t xml:space="preserve">      </w:t>
      </w:r>
      <w:r w:rsidRPr="00700FD7">
        <w:rPr>
          <w:iCs/>
        </w:rPr>
        <w:t xml:space="preserve">                                </w:t>
      </w:r>
      <w:r>
        <w:rPr>
          <w:iCs/>
        </w:rPr>
        <w:t xml:space="preserve">       </w:t>
      </w:r>
    </w:p>
    <w:p w:rsidR="002142B3" w:rsidRPr="00B1634C" w:rsidRDefault="004631D8" w:rsidP="008325FA">
      <w:pPr>
        <w:spacing w:line="360" w:lineRule="auto"/>
        <w:ind w:firstLine="2832"/>
        <w:jc w:val="both"/>
        <w:rPr>
          <w:lang w:val="es-MX"/>
        </w:rPr>
      </w:pPr>
      <w:r>
        <w:rPr>
          <w:b/>
          <w:iCs/>
        </w:rPr>
        <w:t>5</w:t>
      </w:r>
      <w:r w:rsidRPr="00700FD7">
        <w:rPr>
          <w:b/>
          <w:iCs/>
        </w:rPr>
        <w:t>)</w:t>
      </w:r>
      <w:r w:rsidRPr="00700FD7">
        <w:rPr>
          <w:iCs/>
        </w:rPr>
        <w:t xml:space="preserve"> </w:t>
      </w:r>
      <w:r w:rsidRPr="004631D8">
        <w:rPr>
          <w:iCs/>
        </w:rPr>
        <w:t>que</w:t>
      </w:r>
      <w:r w:rsidRPr="004631D8">
        <w:rPr>
          <w:lang w:val="es-MX"/>
        </w:rPr>
        <w:t xml:space="preserve"> el</w:t>
      </w:r>
      <w:r w:rsidRPr="004631D8">
        <w:rPr>
          <w:b/>
          <w:color w:val="FF0000"/>
          <w:lang w:val="es-MX"/>
        </w:rPr>
        <w:t xml:space="preserve"> </w:t>
      </w:r>
      <w:r w:rsidR="002142B3" w:rsidRPr="00B1634C">
        <w:rPr>
          <w:lang w:val="es-MX"/>
        </w:rPr>
        <w:t>10/9/13</w:t>
      </w:r>
      <w:r>
        <w:rPr>
          <w:lang w:val="es-MX"/>
        </w:rPr>
        <w:t xml:space="preserve"> el </w:t>
      </w:r>
      <w:r w:rsidR="002142B3" w:rsidRPr="004631D8">
        <w:rPr>
          <w:lang w:val="es-MX"/>
        </w:rPr>
        <w:t xml:space="preserve">Departamento de </w:t>
      </w:r>
      <w:r>
        <w:rPr>
          <w:lang w:val="es-MX"/>
        </w:rPr>
        <w:t>Registro y Control Presupuestal expresó que e</w:t>
      </w:r>
      <w:r w:rsidR="008325FA">
        <w:rPr>
          <w:lang w:val="es-MX"/>
        </w:rPr>
        <w:t>l Grupo 2</w:t>
      </w:r>
      <w:r w:rsidR="002142B3" w:rsidRPr="00B1634C">
        <w:rPr>
          <w:lang w:val="es-MX"/>
        </w:rPr>
        <w:t xml:space="preserve"> ha sido imputado con disponibilidad presupuestal suficiente para comprometer el monto de </w:t>
      </w:r>
      <w:r w:rsidR="008325FA">
        <w:rPr>
          <w:lang w:val="es-MX"/>
        </w:rPr>
        <w:t xml:space="preserve">          </w:t>
      </w:r>
      <w:r w:rsidR="002142B3" w:rsidRPr="00B1634C">
        <w:rPr>
          <w:lang w:val="es-MX"/>
        </w:rPr>
        <w:t>U$S 1</w:t>
      </w:r>
      <w:r w:rsidR="008325FA">
        <w:rPr>
          <w:lang w:val="es-MX"/>
        </w:rPr>
        <w:t>:</w:t>
      </w:r>
      <w:r w:rsidR="002142B3" w:rsidRPr="00B1634C">
        <w:rPr>
          <w:lang w:val="es-MX"/>
        </w:rPr>
        <w:t>971.616 (neto de impuestos) en el Ejercicio 2013 e incorporar  en el Ejercicio 2014 y siguien</w:t>
      </w:r>
      <w:r>
        <w:rPr>
          <w:lang w:val="es-MX"/>
        </w:rPr>
        <w:t>tes;</w:t>
      </w:r>
    </w:p>
    <w:p w:rsidR="002142B3" w:rsidRDefault="004631D8" w:rsidP="002142B3">
      <w:pPr>
        <w:spacing w:line="360" w:lineRule="auto"/>
        <w:jc w:val="both"/>
        <w:rPr>
          <w:lang w:val="es-MX"/>
        </w:rPr>
      </w:pPr>
      <w:r>
        <w:rPr>
          <w:iCs/>
        </w:rPr>
        <w:t xml:space="preserve">      </w:t>
      </w:r>
      <w:r w:rsidRPr="00700FD7">
        <w:rPr>
          <w:iCs/>
        </w:rPr>
        <w:t xml:space="preserve">                                </w:t>
      </w:r>
      <w:r>
        <w:rPr>
          <w:iCs/>
        </w:rPr>
        <w:t xml:space="preserve">  </w:t>
      </w:r>
      <w:r w:rsidR="00B5257C">
        <w:rPr>
          <w:iCs/>
        </w:rPr>
        <w:t xml:space="preserve">   </w:t>
      </w:r>
      <w:r>
        <w:rPr>
          <w:iCs/>
        </w:rPr>
        <w:t xml:space="preserve"> </w:t>
      </w:r>
      <w:r>
        <w:rPr>
          <w:b/>
          <w:iCs/>
        </w:rPr>
        <w:t>6</w:t>
      </w:r>
      <w:r w:rsidRPr="00700FD7">
        <w:rPr>
          <w:b/>
          <w:iCs/>
        </w:rPr>
        <w:t>)</w:t>
      </w:r>
      <w:r w:rsidRPr="00700FD7">
        <w:rPr>
          <w:iCs/>
        </w:rPr>
        <w:t xml:space="preserve"> </w:t>
      </w:r>
      <w:r w:rsidRPr="004631D8">
        <w:rPr>
          <w:iCs/>
        </w:rPr>
        <w:t>que</w:t>
      </w:r>
      <w:r>
        <w:rPr>
          <w:iCs/>
        </w:rPr>
        <w:t xml:space="preserve"> el Directorio, por Resolución Nº 13.-1489 de fecha 26/9/13 d</w:t>
      </w:r>
      <w:proofErr w:type="spellStart"/>
      <w:r w:rsidR="002142B3" w:rsidRPr="00910399">
        <w:rPr>
          <w:lang w:val="es-MX"/>
        </w:rPr>
        <w:t>ispuso</w:t>
      </w:r>
      <w:proofErr w:type="spellEnd"/>
      <w:r w:rsidR="002142B3" w:rsidRPr="00910399">
        <w:rPr>
          <w:lang w:val="es-MX"/>
        </w:rPr>
        <w:t xml:space="preserve"> adjudicar </w:t>
      </w:r>
      <w:r w:rsidR="008325FA">
        <w:rPr>
          <w:lang w:val="es-MX"/>
        </w:rPr>
        <w:t>-</w:t>
      </w:r>
      <w:r w:rsidR="002142B3" w:rsidRPr="00910399">
        <w:rPr>
          <w:lang w:val="es-MX"/>
        </w:rPr>
        <w:t>ad referéndum de la intervención preventiva de legalidad del Tribunal de Cuentas- de conformidad con lo sugerido por la</w:t>
      </w:r>
      <w:r w:rsidR="008325FA">
        <w:rPr>
          <w:lang w:val="es-MX"/>
        </w:rPr>
        <w:t xml:space="preserve"> Comisión Asesora, a </w:t>
      </w:r>
      <w:proofErr w:type="spellStart"/>
      <w:r w:rsidR="008325FA">
        <w:rPr>
          <w:lang w:val="es-MX"/>
        </w:rPr>
        <w:t>Celmu</w:t>
      </w:r>
      <w:proofErr w:type="spellEnd"/>
      <w:r w:rsidR="008325FA">
        <w:rPr>
          <w:lang w:val="es-MX"/>
        </w:rPr>
        <w:t xml:space="preserve"> S.A.</w:t>
      </w:r>
      <w:r w:rsidR="002142B3" w:rsidRPr="00910399">
        <w:rPr>
          <w:lang w:val="es-MX"/>
        </w:rPr>
        <w:t xml:space="preserve"> el arrendamiento de vehículos por el plazo de 4 años, con opción de pr</w:t>
      </w:r>
      <w:r w:rsidR="002142B3">
        <w:rPr>
          <w:lang w:val="es-MX"/>
        </w:rPr>
        <w:t>órroga prevista</w:t>
      </w:r>
      <w:r w:rsidR="002142B3" w:rsidRPr="00910399">
        <w:rPr>
          <w:lang w:val="es-MX"/>
        </w:rPr>
        <w:t xml:space="preserve"> en el Pliego de Condiciones, según el siguiente detalle:</w:t>
      </w:r>
    </w:p>
    <w:p w:rsidR="00C53D90" w:rsidRPr="00910399" w:rsidRDefault="00C53D90" w:rsidP="002142B3">
      <w:pPr>
        <w:spacing w:line="360" w:lineRule="auto"/>
        <w:jc w:val="both"/>
        <w:rPr>
          <w:lang w:val="es-MX"/>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801"/>
        <w:gridCol w:w="2789"/>
      </w:tblGrid>
      <w:tr w:rsidR="002142B3" w:rsidRPr="00A267E1" w:rsidTr="00DC445D">
        <w:tc>
          <w:tcPr>
            <w:tcW w:w="2771" w:type="dxa"/>
            <w:shd w:val="clear" w:color="auto" w:fill="auto"/>
          </w:tcPr>
          <w:p w:rsidR="002142B3" w:rsidRPr="00A267E1" w:rsidRDefault="002142B3" w:rsidP="00DC445D">
            <w:pPr>
              <w:spacing w:line="360" w:lineRule="auto"/>
              <w:jc w:val="center"/>
              <w:rPr>
                <w:b/>
                <w:sz w:val="22"/>
                <w:szCs w:val="22"/>
                <w:lang w:val="es-MX"/>
              </w:rPr>
            </w:pPr>
            <w:r w:rsidRPr="00A267E1">
              <w:rPr>
                <w:b/>
                <w:sz w:val="22"/>
                <w:szCs w:val="22"/>
                <w:lang w:val="es-MX"/>
              </w:rPr>
              <w:t>ÍTEM</w:t>
            </w:r>
          </w:p>
        </w:tc>
        <w:tc>
          <w:tcPr>
            <w:tcW w:w="2801" w:type="dxa"/>
            <w:shd w:val="clear" w:color="auto" w:fill="auto"/>
          </w:tcPr>
          <w:p w:rsidR="002142B3" w:rsidRPr="00A267E1" w:rsidRDefault="002142B3" w:rsidP="00DC445D">
            <w:pPr>
              <w:spacing w:line="360" w:lineRule="auto"/>
              <w:jc w:val="center"/>
              <w:rPr>
                <w:b/>
                <w:sz w:val="22"/>
                <w:szCs w:val="22"/>
                <w:lang w:val="es-MX"/>
              </w:rPr>
            </w:pPr>
            <w:r w:rsidRPr="00A267E1">
              <w:rPr>
                <w:b/>
                <w:sz w:val="22"/>
                <w:szCs w:val="22"/>
                <w:lang w:val="es-MX"/>
              </w:rPr>
              <w:t>PRECIO UNITARIO MENSUAL EN U$S</w:t>
            </w:r>
          </w:p>
        </w:tc>
        <w:tc>
          <w:tcPr>
            <w:tcW w:w="2789" w:type="dxa"/>
            <w:shd w:val="clear" w:color="auto" w:fill="auto"/>
          </w:tcPr>
          <w:p w:rsidR="002142B3" w:rsidRPr="00A267E1" w:rsidRDefault="002142B3" w:rsidP="00DC445D">
            <w:pPr>
              <w:spacing w:line="360" w:lineRule="auto"/>
              <w:jc w:val="center"/>
              <w:rPr>
                <w:b/>
                <w:sz w:val="22"/>
                <w:szCs w:val="22"/>
                <w:lang w:val="es-MX"/>
              </w:rPr>
            </w:pPr>
            <w:r w:rsidRPr="00A267E1">
              <w:rPr>
                <w:b/>
                <w:sz w:val="22"/>
                <w:szCs w:val="22"/>
                <w:lang w:val="es-MX"/>
              </w:rPr>
              <w:t>PRECIO TOTAL 48 MESES EN U$S</w:t>
            </w:r>
          </w:p>
        </w:tc>
      </w:tr>
      <w:tr w:rsidR="002142B3" w:rsidRPr="00A267E1" w:rsidTr="00DC445D">
        <w:tc>
          <w:tcPr>
            <w:tcW w:w="277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w:t>
            </w:r>
          </w:p>
        </w:tc>
        <w:tc>
          <w:tcPr>
            <w:tcW w:w="280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643</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401.232</w:t>
            </w:r>
          </w:p>
        </w:tc>
      </w:tr>
      <w:tr w:rsidR="002142B3" w:rsidRPr="00A267E1" w:rsidTr="00DC445D">
        <w:tc>
          <w:tcPr>
            <w:tcW w:w="277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2</w:t>
            </w:r>
          </w:p>
        </w:tc>
        <w:tc>
          <w:tcPr>
            <w:tcW w:w="280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1.089</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156.816</w:t>
            </w:r>
          </w:p>
        </w:tc>
      </w:tr>
      <w:tr w:rsidR="002142B3" w:rsidRPr="00A267E1" w:rsidTr="00DC445D">
        <w:tc>
          <w:tcPr>
            <w:tcW w:w="277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3</w:t>
            </w:r>
          </w:p>
        </w:tc>
        <w:tc>
          <w:tcPr>
            <w:tcW w:w="280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1.188</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798.336</w:t>
            </w:r>
          </w:p>
        </w:tc>
      </w:tr>
      <w:tr w:rsidR="002142B3" w:rsidRPr="00A267E1" w:rsidTr="00DC445D">
        <w:tc>
          <w:tcPr>
            <w:tcW w:w="277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4</w:t>
            </w:r>
          </w:p>
        </w:tc>
        <w:tc>
          <w:tcPr>
            <w:tcW w:w="280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1.593</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305.856</w:t>
            </w:r>
          </w:p>
        </w:tc>
      </w:tr>
      <w:tr w:rsidR="002142B3" w:rsidRPr="00A267E1" w:rsidTr="00DC445D">
        <w:tc>
          <w:tcPr>
            <w:tcW w:w="2771"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5</w:t>
            </w:r>
          </w:p>
        </w:tc>
        <w:tc>
          <w:tcPr>
            <w:tcW w:w="2801" w:type="dxa"/>
            <w:shd w:val="clear" w:color="auto" w:fill="auto"/>
          </w:tcPr>
          <w:p w:rsidR="002142B3" w:rsidRPr="00A267E1" w:rsidRDefault="002142B3" w:rsidP="00DC445D">
            <w:pPr>
              <w:spacing w:line="360" w:lineRule="auto"/>
              <w:jc w:val="center"/>
              <w:rPr>
                <w:sz w:val="22"/>
                <w:szCs w:val="22"/>
                <w:lang w:val="es-MX"/>
              </w:rPr>
            </w:pPr>
            <w:r>
              <w:rPr>
                <w:sz w:val="22"/>
                <w:szCs w:val="22"/>
                <w:lang w:val="es-MX"/>
              </w:rPr>
              <w:t>693</w:t>
            </w:r>
          </w:p>
        </w:tc>
        <w:tc>
          <w:tcPr>
            <w:tcW w:w="2789" w:type="dxa"/>
            <w:shd w:val="clear" w:color="auto" w:fill="auto"/>
          </w:tcPr>
          <w:p w:rsidR="002142B3" w:rsidRPr="00A267E1" w:rsidRDefault="002142B3" w:rsidP="00DC445D">
            <w:pPr>
              <w:spacing w:line="360" w:lineRule="auto"/>
              <w:jc w:val="center"/>
              <w:rPr>
                <w:sz w:val="22"/>
                <w:szCs w:val="22"/>
                <w:lang w:val="es-MX"/>
              </w:rPr>
            </w:pPr>
            <w:r w:rsidRPr="00A267E1">
              <w:rPr>
                <w:sz w:val="22"/>
                <w:szCs w:val="22"/>
                <w:lang w:val="es-MX"/>
              </w:rPr>
              <w:t>299.376</w:t>
            </w:r>
          </w:p>
        </w:tc>
      </w:tr>
    </w:tbl>
    <w:p w:rsidR="002142B3" w:rsidRDefault="002142B3" w:rsidP="002142B3">
      <w:pPr>
        <w:spacing w:line="360" w:lineRule="auto"/>
        <w:jc w:val="both"/>
        <w:rPr>
          <w:color w:val="FF0000"/>
          <w:lang w:val="es-MX"/>
        </w:rPr>
      </w:pPr>
    </w:p>
    <w:p w:rsidR="002142B3" w:rsidRPr="007A0C08" w:rsidRDefault="002142B3" w:rsidP="00C53D90">
      <w:pPr>
        <w:spacing w:line="360" w:lineRule="auto"/>
        <w:jc w:val="both"/>
        <w:rPr>
          <w:bCs/>
          <w:sz w:val="22"/>
          <w:lang w:val="es-MX"/>
        </w:rPr>
      </w:pPr>
      <w:r w:rsidRPr="00D15AA1">
        <w:rPr>
          <w:lang w:val="es-MX"/>
        </w:rPr>
        <w:t>El monto del arrendamiento de vehículos incluyendo previsión por ajuste de precios es de U$S 1</w:t>
      </w:r>
      <w:r w:rsidR="00F24BDA">
        <w:rPr>
          <w:lang w:val="es-MX"/>
        </w:rPr>
        <w:t>:971.616. El IVA del 22</w:t>
      </w:r>
      <w:r w:rsidRPr="00D15AA1">
        <w:rPr>
          <w:lang w:val="es-MX"/>
        </w:rPr>
        <w:t xml:space="preserve">% es de U$S 433.755,52, por lo cual el monto </w:t>
      </w:r>
      <w:r w:rsidRPr="00F67AC1">
        <w:rPr>
          <w:lang w:val="es-MX"/>
        </w:rPr>
        <w:t>total de la negociac</w:t>
      </w:r>
      <w:r w:rsidR="004631D8">
        <w:rPr>
          <w:lang w:val="es-MX"/>
        </w:rPr>
        <w:t>ión asciende a U$S 2</w:t>
      </w:r>
      <w:r w:rsidR="00F24BDA">
        <w:rPr>
          <w:lang w:val="es-MX"/>
        </w:rPr>
        <w:t>:</w:t>
      </w:r>
      <w:r w:rsidR="004631D8">
        <w:rPr>
          <w:lang w:val="es-MX"/>
        </w:rPr>
        <w:t>405.371,52. Se indica que e</w:t>
      </w:r>
      <w:r w:rsidRPr="00F67AC1">
        <w:rPr>
          <w:lang w:val="es-MX"/>
        </w:rPr>
        <w:t>l total de la negociación incluyendo opci</w:t>
      </w:r>
      <w:r w:rsidR="007A0C08">
        <w:rPr>
          <w:lang w:val="es-MX"/>
        </w:rPr>
        <w:t>ón por hasta dos</w:t>
      </w:r>
      <w:r w:rsidRPr="00F67AC1">
        <w:rPr>
          <w:lang w:val="es-MX"/>
        </w:rPr>
        <w:t xml:space="preserve"> años más </w:t>
      </w:r>
      <w:r w:rsidRPr="00C53D90">
        <w:rPr>
          <w:spacing w:val="8"/>
          <w:lang w:val="es-MX"/>
        </w:rPr>
        <w:t>asciende a U$S 3</w:t>
      </w:r>
      <w:r w:rsidR="00F24BDA">
        <w:rPr>
          <w:spacing w:val="8"/>
          <w:lang w:val="es-MX"/>
        </w:rPr>
        <w:t>:</w:t>
      </w:r>
      <w:r w:rsidRPr="00C53D90">
        <w:rPr>
          <w:spacing w:val="8"/>
          <w:lang w:val="es-MX"/>
        </w:rPr>
        <w:t>608.057,28 (a tipo de cambio $ 20,748, el monto es de $</w:t>
      </w:r>
      <w:r w:rsidRPr="00F67AC1">
        <w:rPr>
          <w:lang w:val="es-MX"/>
        </w:rPr>
        <w:t xml:space="preserve"> 74</w:t>
      </w:r>
      <w:r w:rsidR="00F24BDA">
        <w:rPr>
          <w:lang w:val="es-MX"/>
        </w:rPr>
        <w:t>:</w:t>
      </w:r>
      <w:r w:rsidRPr="00F67AC1">
        <w:rPr>
          <w:lang w:val="es-MX"/>
        </w:rPr>
        <w:t>859.973)</w:t>
      </w:r>
      <w:r w:rsidR="004631D8">
        <w:rPr>
          <w:lang w:val="es-MX"/>
        </w:rPr>
        <w:t>;</w:t>
      </w:r>
    </w:p>
    <w:p w:rsidR="00AD6811" w:rsidRPr="00AD6811" w:rsidRDefault="0029007C" w:rsidP="00C53D90">
      <w:pPr>
        <w:spacing w:line="360" w:lineRule="auto"/>
        <w:ind w:firstLine="708"/>
        <w:jc w:val="both"/>
        <w:rPr>
          <w:bCs/>
        </w:rPr>
      </w:pPr>
      <w:r w:rsidRPr="007A0C08">
        <w:rPr>
          <w:b/>
        </w:rPr>
        <w:t xml:space="preserve">CONSIDERANDO: 1) </w:t>
      </w:r>
      <w:r w:rsidR="00544AD4" w:rsidRPr="007A0C08">
        <w:t>que</w:t>
      </w:r>
      <w:r w:rsidR="001A5B0C">
        <w:t xml:space="preserve"> en la especie se indicó como aplicable</w:t>
      </w:r>
      <w:r w:rsidR="00D31D5E">
        <w:t xml:space="preserve"> </w:t>
      </w:r>
      <w:r w:rsidR="00D17085">
        <w:t xml:space="preserve">el </w:t>
      </w:r>
      <w:r w:rsidR="00F24BDA">
        <w:t xml:space="preserve">   </w:t>
      </w:r>
      <w:r w:rsidR="00D17085" w:rsidRPr="00F8655C">
        <w:rPr>
          <w:lang w:val="es-MX"/>
        </w:rPr>
        <w:t>Art.</w:t>
      </w:r>
      <w:r w:rsidR="00D17085">
        <w:rPr>
          <w:lang w:val="es-MX"/>
        </w:rPr>
        <w:t xml:space="preserve"> 12.4 del Pliego Único de Bases y Condiciones Generales para los Contratos de </w:t>
      </w:r>
      <w:r w:rsidR="00D17085" w:rsidRPr="003F6ED0">
        <w:rPr>
          <w:lang w:val="es-MX"/>
        </w:rPr>
        <w:t xml:space="preserve">Suministros y Servicios No Personales, </w:t>
      </w:r>
      <w:r w:rsidR="001A5B0C" w:rsidRPr="003F6ED0">
        <w:rPr>
          <w:lang w:val="es-MX"/>
        </w:rPr>
        <w:t xml:space="preserve">el que </w:t>
      </w:r>
      <w:r w:rsidR="00F24BDA">
        <w:rPr>
          <w:lang w:val="es-MX"/>
        </w:rPr>
        <w:t>bajo el acápite “Negociaciones”</w:t>
      </w:r>
      <w:r w:rsidR="00D17085" w:rsidRPr="003F6ED0">
        <w:rPr>
          <w:lang w:val="es-MX"/>
        </w:rPr>
        <w:t xml:space="preserve"> establece que “se podrán establecer negociaciones tendientes a mejorar las ofertas en los casos de precios </w:t>
      </w:r>
      <w:r w:rsidR="00FC1099" w:rsidRPr="003F6ED0">
        <w:rPr>
          <w:lang w:val="es-MX"/>
        </w:rPr>
        <w:t>manifiestamente inconvenientes</w:t>
      </w:r>
      <w:r w:rsidR="00FC1099">
        <w:rPr>
          <w:i/>
          <w:lang w:val="es-MX"/>
        </w:rPr>
        <w:t>”;</w:t>
      </w:r>
    </w:p>
    <w:p w:rsidR="00FC1099" w:rsidRDefault="00FC1099" w:rsidP="00FC1099">
      <w:pPr>
        <w:spacing w:line="360" w:lineRule="auto"/>
        <w:jc w:val="both"/>
        <w:rPr>
          <w:bCs/>
        </w:rPr>
      </w:pPr>
      <w:r w:rsidRPr="00FC1099">
        <w:rPr>
          <w:b/>
        </w:rPr>
        <w:t xml:space="preserve">                    </w:t>
      </w:r>
      <w:r w:rsidR="004C405F">
        <w:rPr>
          <w:b/>
        </w:rPr>
        <w:t xml:space="preserve">                             2</w:t>
      </w:r>
      <w:r w:rsidRPr="00FC1099">
        <w:rPr>
          <w:b/>
        </w:rPr>
        <w:t>)</w:t>
      </w:r>
      <w:r w:rsidR="003F6ED0">
        <w:rPr>
          <w:b/>
        </w:rPr>
        <w:t xml:space="preserve"> </w:t>
      </w:r>
      <w:r>
        <w:t xml:space="preserve">que </w:t>
      </w:r>
      <w:r>
        <w:rPr>
          <w:bCs/>
        </w:rPr>
        <w:t>ante precios manifiestamente inconvenientes, el Art</w:t>
      </w:r>
      <w:r w:rsidR="003F6ED0">
        <w:rPr>
          <w:bCs/>
        </w:rPr>
        <w:t>ículo</w:t>
      </w:r>
      <w:r>
        <w:rPr>
          <w:bCs/>
        </w:rPr>
        <w:t xml:space="preserve"> 66 del T.O.C.A.F. permite acudir a la mejora de condiciones técnicas, de calidad o de precio, mientras que las bases del </w:t>
      </w:r>
      <w:r w:rsidR="00F24BDA">
        <w:rPr>
          <w:bCs/>
        </w:rPr>
        <w:t>L</w:t>
      </w:r>
      <w:r>
        <w:rPr>
          <w:bCs/>
        </w:rPr>
        <w:t>lamado establecieron la posibilidad de acudir a negociaciones, lo que resulta contradictorio por cuanto en el primer caso se solicita al oferente que mejore en forma unilateral, mientras que en el segundo, se produce la bilateralidad dada por la confrontación de intereses que la misma supone;</w:t>
      </w:r>
    </w:p>
    <w:p w:rsidR="00FC1099" w:rsidRDefault="00FC1099" w:rsidP="00FC1099">
      <w:pPr>
        <w:spacing w:line="360" w:lineRule="auto"/>
        <w:jc w:val="both"/>
        <w:rPr>
          <w:bCs/>
          <w:lang w:val="es-MX"/>
        </w:rPr>
      </w:pPr>
      <w:r>
        <w:rPr>
          <w:bCs/>
          <w:color w:val="FF0000"/>
          <w:lang w:val="es-MX"/>
        </w:rPr>
        <w:t xml:space="preserve"> </w:t>
      </w:r>
      <w:r>
        <w:t xml:space="preserve">                                             </w:t>
      </w:r>
      <w:r w:rsidR="004C405F">
        <w:t xml:space="preserve">   </w:t>
      </w:r>
      <w:r w:rsidR="004C405F">
        <w:rPr>
          <w:b/>
        </w:rPr>
        <w:t>3</w:t>
      </w:r>
      <w:r>
        <w:rPr>
          <w:b/>
        </w:rPr>
        <w:t>)</w:t>
      </w:r>
      <w:r>
        <w:t xml:space="preserve"> que</w:t>
      </w:r>
      <w:r>
        <w:rPr>
          <w:bCs/>
          <w:lang w:val="es-MX"/>
        </w:rPr>
        <w:t xml:space="preserve"> ante la existencia de diversas normas, se deben aplicar los principios ordenadores de las fuentes, por lo </w:t>
      </w:r>
      <w:r w:rsidR="004C405F">
        <w:rPr>
          <w:bCs/>
          <w:lang w:val="es-MX"/>
        </w:rPr>
        <w:t xml:space="preserve">que cabe </w:t>
      </w:r>
      <w:r w:rsidR="004C405F">
        <w:rPr>
          <w:bCs/>
          <w:lang w:val="es-MX"/>
        </w:rPr>
        <w:lastRenderedPageBreak/>
        <w:t>concluir que el Art</w:t>
      </w:r>
      <w:r w:rsidR="003F6ED0">
        <w:rPr>
          <w:bCs/>
          <w:lang w:val="es-MX"/>
        </w:rPr>
        <w:t>ículo</w:t>
      </w:r>
      <w:r w:rsidR="004C405F">
        <w:rPr>
          <w:bCs/>
          <w:lang w:val="es-MX"/>
        </w:rPr>
        <w:t xml:space="preserve"> 12.4 del Pliego Único que se indicó como parte de las disposiciones que rigieron el </w:t>
      </w:r>
      <w:r w:rsidR="00F65416">
        <w:rPr>
          <w:bCs/>
          <w:lang w:val="es-MX"/>
        </w:rPr>
        <w:t>L</w:t>
      </w:r>
      <w:r w:rsidR="004C405F">
        <w:rPr>
          <w:bCs/>
          <w:lang w:val="es-MX"/>
        </w:rPr>
        <w:t xml:space="preserve">lamado, </w:t>
      </w:r>
      <w:r>
        <w:rPr>
          <w:bCs/>
          <w:lang w:val="es-MX"/>
        </w:rPr>
        <w:t>vulnera normas de rango superior (Art</w:t>
      </w:r>
      <w:r w:rsidR="003F6ED0">
        <w:rPr>
          <w:bCs/>
          <w:lang w:val="es-MX"/>
        </w:rPr>
        <w:t xml:space="preserve">ículo </w:t>
      </w:r>
      <w:r>
        <w:rPr>
          <w:bCs/>
          <w:lang w:val="es-MX"/>
        </w:rPr>
        <w:t xml:space="preserve"> 66 del T.O.C.A.F.);</w:t>
      </w:r>
    </w:p>
    <w:p w:rsidR="00F46773" w:rsidRPr="00307ABB" w:rsidRDefault="0010591B" w:rsidP="003F6ED0">
      <w:pPr>
        <w:spacing w:line="360" w:lineRule="auto"/>
        <w:ind w:firstLine="2977"/>
        <w:jc w:val="both"/>
        <w:rPr>
          <w:b/>
          <w:lang w:val="es-MX"/>
        </w:rPr>
      </w:pPr>
      <w:r>
        <w:rPr>
          <w:b/>
        </w:rPr>
        <w:t xml:space="preserve">4) </w:t>
      </w:r>
      <w:r>
        <w:t>que al comprometer el gasto en el 2013 pero incorporar</w:t>
      </w:r>
      <w:r w:rsidR="00F65416">
        <w:t>lo</w:t>
      </w:r>
      <w:r w:rsidR="003F6ED0">
        <w:t xml:space="preserve"> </w:t>
      </w:r>
      <w:r>
        <w:t xml:space="preserve"> en el 2014 corresponde cometer la intervención del gasto;</w:t>
      </w:r>
    </w:p>
    <w:p w:rsidR="0029007C" w:rsidRPr="002142B3" w:rsidRDefault="0029007C" w:rsidP="003F6ED0">
      <w:pPr>
        <w:spacing w:line="360" w:lineRule="auto"/>
        <w:ind w:firstLine="708"/>
        <w:jc w:val="both"/>
        <w:rPr>
          <w:bCs/>
        </w:rPr>
      </w:pPr>
      <w:r w:rsidRPr="002142B3">
        <w:rPr>
          <w:b/>
        </w:rPr>
        <w:t xml:space="preserve">ATENTO: </w:t>
      </w:r>
      <w:r w:rsidRPr="002142B3">
        <w:rPr>
          <w:bCs/>
        </w:rPr>
        <w:t>a lo precedentemente expuesto, y a lo dispuesto por el Art</w:t>
      </w:r>
      <w:r w:rsidR="003F6ED0">
        <w:rPr>
          <w:bCs/>
        </w:rPr>
        <w:t xml:space="preserve">ículo </w:t>
      </w:r>
      <w:r w:rsidRPr="002142B3">
        <w:rPr>
          <w:bCs/>
        </w:rPr>
        <w:t xml:space="preserve"> 211 Lit</w:t>
      </w:r>
      <w:r w:rsidR="003F6ED0">
        <w:rPr>
          <w:bCs/>
        </w:rPr>
        <w:t>eral</w:t>
      </w:r>
      <w:r w:rsidRPr="002142B3">
        <w:rPr>
          <w:bCs/>
        </w:rPr>
        <w:t xml:space="preserve"> B) de la Constitución de la República;</w:t>
      </w:r>
    </w:p>
    <w:p w:rsidR="0029007C" w:rsidRPr="00CC52E3" w:rsidRDefault="0029007C" w:rsidP="003F6ED0">
      <w:pPr>
        <w:pStyle w:val="Ttulo3"/>
        <w:jc w:val="center"/>
        <w:rPr>
          <w:i w:val="0"/>
          <w:iCs w:val="0"/>
          <w:sz w:val="24"/>
        </w:rPr>
      </w:pPr>
      <w:r w:rsidRPr="00CC52E3">
        <w:rPr>
          <w:i w:val="0"/>
          <w:iCs w:val="0"/>
          <w:sz w:val="24"/>
        </w:rPr>
        <w:t>EL TRIBUNAL ACUERDA</w:t>
      </w:r>
    </w:p>
    <w:p w:rsidR="0010591B" w:rsidRDefault="003F6ED0" w:rsidP="00917ED3">
      <w:pPr>
        <w:spacing w:line="360" w:lineRule="auto"/>
        <w:ind w:left="284" w:hanging="284"/>
        <w:jc w:val="both"/>
      </w:pPr>
      <w:r w:rsidRPr="003F6ED0">
        <w:rPr>
          <w:b/>
          <w:lang w:val="es-MX"/>
        </w:rPr>
        <w:t>1)</w:t>
      </w:r>
      <w:r>
        <w:t xml:space="preserve"> </w:t>
      </w:r>
      <w:r w:rsidR="0010591B">
        <w:t xml:space="preserve">Cometer al Contador Delegado la intervención del gasto para el </w:t>
      </w:r>
      <w:r w:rsidR="00F65416">
        <w:t>E</w:t>
      </w:r>
      <w:r w:rsidR="0010591B">
        <w:t xml:space="preserve">jercicio 2014, previo control de su imputación en el </w:t>
      </w:r>
      <w:r w:rsidR="00F65416">
        <w:t>G</w:t>
      </w:r>
      <w:r w:rsidR="0010591B">
        <w:t>rupo adecuado con disponibilidad suficiente;</w:t>
      </w:r>
    </w:p>
    <w:p w:rsidR="0010591B" w:rsidRPr="0010591B" w:rsidRDefault="00917ED3" w:rsidP="00917ED3">
      <w:pPr>
        <w:spacing w:line="360" w:lineRule="auto"/>
        <w:jc w:val="both"/>
      </w:pPr>
      <w:r w:rsidRPr="00917ED3">
        <w:rPr>
          <w:b/>
        </w:rPr>
        <w:t>2)</w:t>
      </w:r>
      <w:r>
        <w:rPr>
          <w:b/>
        </w:rPr>
        <w:t xml:space="preserve"> </w:t>
      </w:r>
      <w:r w:rsidR="0010591B" w:rsidRPr="0010591B">
        <w:t>Téngase presente lo expresado en los Considerandos 1</w:t>
      </w:r>
      <w:r>
        <w:t>)</w:t>
      </w:r>
      <w:r w:rsidR="0010591B" w:rsidRPr="0010591B">
        <w:t xml:space="preserve"> a 3</w:t>
      </w:r>
      <w:r>
        <w:t>)</w:t>
      </w:r>
      <w:r w:rsidR="0010591B" w:rsidRPr="0010591B">
        <w:t xml:space="preserve">; </w:t>
      </w:r>
    </w:p>
    <w:p w:rsidR="0010591B" w:rsidRPr="0010591B" w:rsidRDefault="00917ED3" w:rsidP="00917ED3">
      <w:pPr>
        <w:spacing w:line="360" w:lineRule="auto"/>
        <w:jc w:val="both"/>
        <w:rPr>
          <w:b/>
        </w:rPr>
      </w:pPr>
      <w:r w:rsidRPr="00917ED3">
        <w:rPr>
          <w:b/>
        </w:rPr>
        <w:t>3)</w:t>
      </w:r>
      <w:r>
        <w:t xml:space="preserve"> </w:t>
      </w:r>
      <w:r w:rsidR="0010591B" w:rsidRPr="0010591B">
        <w:t>Comunicar al C</w:t>
      </w:r>
      <w:r>
        <w:t>ontado</w:t>
      </w:r>
      <w:r w:rsidR="0010591B" w:rsidRPr="0010591B">
        <w:t>r Delegado;</w:t>
      </w:r>
      <w:r>
        <w:t xml:space="preserve"> y</w:t>
      </w:r>
    </w:p>
    <w:p w:rsidR="0029007C" w:rsidRPr="0010591B" w:rsidRDefault="00917ED3" w:rsidP="00917ED3">
      <w:pPr>
        <w:spacing w:line="360" w:lineRule="auto"/>
        <w:jc w:val="both"/>
      </w:pPr>
      <w:r w:rsidRPr="00917ED3">
        <w:rPr>
          <w:b/>
        </w:rPr>
        <w:t>4)</w:t>
      </w:r>
      <w:r>
        <w:t xml:space="preserve"> </w:t>
      </w:r>
      <w:r w:rsidR="0010591B" w:rsidRPr="0010591B">
        <w:t>Devolver las actuaciones.</w:t>
      </w:r>
      <w:bookmarkStart w:id="0" w:name="_GoBack"/>
      <w:bookmarkEnd w:id="0"/>
    </w:p>
    <w:p w:rsidR="0029007C" w:rsidRDefault="0029007C">
      <w:pPr>
        <w:spacing w:line="360" w:lineRule="auto"/>
        <w:jc w:val="both"/>
      </w:pPr>
    </w:p>
    <w:p w:rsidR="00917ED3" w:rsidRDefault="00917ED3">
      <w:pPr>
        <w:spacing w:line="360" w:lineRule="auto"/>
        <w:jc w:val="both"/>
      </w:pPr>
    </w:p>
    <w:p w:rsidR="00917ED3" w:rsidRDefault="00917ED3">
      <w:pPr>
        <w:spacing w:line="360" w:lineRule="auto"/>
        <w:jc w:val="both"/>
      </w:pPr>
    </w:p>
    <w:p w:rsidR="00917ED3" w:rsidRDefault="00917ED3">
      <w:pPr>
        <w:spacing w:line="360" w:lineRule="auto"/>
        <w:jc w:val="both"/>
      </w:pPr>
    </w:p>
    <w:p w:rsidR="00917ED3" w:rsidRDefault="00917ED3">
      <w:pPr>
        <w:spacing w:line="360" w:lineRule="auto"/>
        <w:jc w:val="both"/>
      </w:pPr>
    </w:p>
    <w:p w:rsidR="00917ED3" w:rsidRDefault="00917ED3">
      <w:pPr>
        <w:spacing w:line="360" w:lineRule="auto"/>
        <w:jc w:val="both"/>
      </w:pPr>
    </w:p>
    <w:p w:rsidR="00917ED3" w:rsidRPr="0010591B" w:rsidRDefault="00917ED3">
      <w:pPr>
        <w:spacing w:line="360" w:lineRule="auto"/>
        <w:jc w:val="both"/>
      </w:pPr>
      <w:proofErr w:type="spellStart"/>
      <w:proofErr w:type="gramStart"/>
      <w:r>
        <w:t>cr</w:t>
      </w:r>
      <w:proofErr w:type="spellEnd"/>
      <w:proofErr w:type="gramEnd"/>
    </w:p>
    <w:sectPr w:rsidR="00917ED3" w:rsidRPr="0010591B" w:rsidSect="00917ED3">
      <w:footerReference w:type="even" r:id="rId9"/>
      <w:footerReference w:type="default" r:id="rId10"/>
      <w:pgSz w:w="11907" w:h="16840" w:code="9"/>
      <w:pgMar w:top="3402" w:right="1701" w:bottom="1418"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E3" w:rsidRDefault="00D923E3">
      <w:r>
        <w:separator/>
      </w:r>
    </w:p>
  </w:endnote>
  <w:endnote w:type="continuationSeparator" w:id="0">
    <w:p w:rsidR="00D923E3" w:rsidRDefault="00D9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F8" w:rsidRDefault="00A12FF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FF8" w:rsidRDefault="00A12F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FF8" w:rsidRDefault="00A12FF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5416">
      <w:rPr>
        <w:rStyle w:val="Nmerodepgina"/>
        <w:noProof/>
      </w:rPr>
      <w:t>4</w:t>
    </w:r>
    <w:r>
      <w:rPr>
        <w:rStyle w:val="Nmerodepgina"/>
      </w:rPr>
      <w:fldChar w:fldCharType="end"/>
    </w:r>
  </w:p>
  <w:p w:rsidR="00A12FF8" w:rsidRDefault="00A12F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E3" w:rsidRDefault="00D923E3">
      <w:r>
        <w:separator/>
      </w:r>
    </w:p>
  </w:footnote>
  <w:footnote w:type="continuationSeparator" w:id="0">
    <w:p w:rsidR="00D923E3" w:rsidRDefault="00D92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6B8"/>
    <w:multiLevelType w:val="hybridMultilevel"/>
    <w:tmpl w:val="D33AE4C8"/>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48D4D9D"/>
    <w:multiLevelType w:val="hybridMultilevel"/>
    <w:tmpl w:val="038EB02E"/>
    <w:lvl w:ilvl="0" w:tplc="FFB6B3B6">
      <w:numFmt w:val="bullet"/>
      <w:lvlText w:val="-"/>
      <w:lvlJc w:val="left"/>
      <w:pPr>
        <w:tabs>
          <w:tab w:val="num" w:pos="1890"/>
        </w:tabs>
        <w:ind w:left="1890" w:hanging="360"/>
      </w:pPr>
      <w:rPr>
        <w:rFonts w:ascii="Times New Roman" w:eastAsia="Times New Roman" w:hAnsi="Times New Roman" w:cs="Times New Roman" w:hint="default"/>
      </w:rPr>
    </w:lvl>
    <w:lvl w:ilvl="1" w:tplc="0C0A0003" w:tentative="1">
      <w:start w:val="1"/>
      <w:numFmt w:val="bullet"/>
      <w:lvlText w:val="o"/>
      <w:lvlJc w:val="left"/>
      <w:pPr>
        <w:tabs>
          <w:tab w:val="num" w:pos="2610"/>
        </w:tabs>
        <w:ind w:left="2610" w:hanging="360"/>
      </w:pPr>
      <w:rPr>
        <w:rFonts w:ascii="Courier New" w:hAnsi="Courier New" w:hint="default"/>
      </w:rPr>
    </w:lvl>
    <w:lvl w:ilvl="2" w:tplc="0C0A0005" w:tentative="1">
      <w:start w:val="1"/>
      <w:numFmt w:val="bullet"/>
      <w:lvlText w:val=""/>
      <w:lvlJc w:val="left"/>
      <w:pPr>
        <w:tabs>
          <w:tab w:val="num" w:pos="3330"/>
        </w:tabs>
        <w:ind w:left="3330" w:hanging="360"/>
      </w:pPr>
      <w:rPr>
        <w:rFonts w:ascii="Wingdings" w:hAnsi="Wingdings" w:hint="default"/>
      </w:rPr>
    </w:lvl>
    <w:lvl w:ilvl="3" w:tplc="0C0A0001" w:tentative="1">
      <w:start w:val="1"/>
      <w:numFmt w:val="bullet"/>
      <w:lvlText w:val=""/>
      <w:lvlJc w:val="left"/>
      <w:pPr>
        <w:tabs>
          <w:tab w:val="num" w:pos="4050"/>
        </w:tabs>
        <w:ind w:left="4050" w:hanging="360"/>
      </w:pPr>
      <w:rPr>
        <w:rFonts w:ascii="Symbol" w:hAnsi="Symbol" w:hint="default"/>
      </w:rPr>
    </w:lvl>
    <w:lvl w:ilvl="4" w:tplc="0C0A0003" w:tentative="1">
      <w:start w:val="1"/>
      <w:numFmt w:val="bullet"/>
      <w:lvlText w:val="o"/>
      <w:lvlJc w:val="left"/>
      <w:pPr>
        <w:tabs>
          <w:tab w:val="num" w:pos="4770"/>
        </w:tabs>
        <w:ind w:left="4770" w:hanging="360"/>
      </w:pPr>
      <w:rPr>
        <w:rFonts w:ascii="Courier New" w:hAnsi="Courier New" w:hint="default"/>
      </w:rPr>
    </w:lvl>
    <w:lvl w:ilvl="5" w:tplc="0C0A0005" w:tentative="1">
      <w:start w:val="1"/>
      <w:numFmt w:val="bullet"/>
      <w:lvlText w:val=""/>
      <w:lvlJc w:val="left"/>
      <w:pPr>
        <w:tabs>
          <w:tab w:val="num" w:pos="5490"/>
        </w:tabs>
        <w:ind w:left="5490" w:hanging="360"/>
      </w:pPr>
      <w:rPr>
        <w:rFonts w:ascii="Wingdings" w:hAnsi="Wingdings" w:hint="default"/>
      </w:rPr>
    </w:lvl>
    <w:lvl w:ilvl="6" w:tplc="0C0A0001" w:tentative="1">
      <w:start w:val="1"/>
      <w:numFmt w:val="bullet"/>
      <w:lvlText w:val=""/>
      <w:lvlJc w:val="left"/>
      <w:pPr>
        <w:tabs>
          <w:tab w:val="num" w:pos="6210"/>
        </w:tabs>
        <w:ind w:left="6210" w:hanging="360"/>
      </w:pPr>
      <w:rPr>
        <w:rFonts w:ascii="Symbol" w:hAnsi="Symbol" w:hint="default"/>
      </w:rPr>
    </w:lvl>
    <w:lvl w:ilvl="7" w:tplc="0C0A0003" w:tentative="1">
      <w:start w:val="1"/>
      <w:numFmt w:val="bullet"/>
      <w:lvlText w:val="o"/>
      <w:lvlJc w:val="left"/>
      <w:pPr>
        <w:tabs>
          <w:tab w:val="num" w:pos="6930"/>
        </w:tabs>
        <w:ind w:left="6930" w:hanging="360"/>
      </w:pPr>
      <w:rPr>
        <w:rFonts w:ascii="Courier New" w:hAnsi="Courier New" w:hint="default"/>
      </w:rPr>
    </w:lvl>
    <w:lvl w:ilvl="8" w:tplc="0C0A0005" w:tentative="1">
      <w:start w:val="1"/>
      <w:numFmt w:val="bullet"/>
      <w:lvlText w:val=""/>
      <w:lvlJc w:val="left"/>
      <w:pPr>
        <w:tabs>
          <w:tab w:val="num" w:pos="7650"/>
        </w:tabs>
        <w:ind w:left="7650" w:hanging="360"/>
      </w:pPr>
      <w:rPr>
        <w:rFonts w:ascii="Wingdings" w:hAnsi="Wingdings" w:hint="default"/>
      </w:rPr>
    </w:lvl>
  </w:abstractNum>
  <w:abstractNum w:abstractNumId="2">
    <w:nsid w:val="073235F5"/>
    <w:multiLevelType w:val="hybridMultilevel"/>
    <w:tmpl w:val="ACFA9B9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D1B6E04"/>
    <w:multiLevelType w:val="hybridMultilevel"/>
    <w:tmpl w:val="F92CA36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19A7260"/>
    <w:multiLevelType w:val="hybridMultilevel"/>
    <w:tmpl w:val="DB1C4634"/>
    <w:lvl w:ilvl="0" w:tplc="D604E9E6">
      <w:start w:val="1"/>
      <w:numFmt w:val="lowerLetter"/>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20504BC"/>
    <w:multiLevelType w:val="multilevel"/>
    <w:tmpl w:val="1A56BDC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CE2FBB"/>
    <w:multiLevelType w:val="hybridMultilevel"/>
    <w:tmpl w:val="7A7E9A3A"/>
    <w:lvl w:ilvl="0" w:tplc="6896B7F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956246D"/>
    <w:multiLevelType w:val="hybridMultilevel"/>
    <w:tmpl w:val="801C5472"/>
    <w:lvl w:ilvl="0" w:tplc="9D2E6470">
      <w:start w:val="1"/>
      <w:numFmt w:val="upperLetter"/>
      <w:lvlText w:val="%1)"/>
      <w:lvlJc w:val="left"/>
      <w:pPr>
        <w:ind w:left="720" w:hanging="360"/>
      </w:pPr>
      <w:rPr>
        <w:rFonts w:hint="default"/>
        <w:b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1A9E4C99"/>
    <w:multiLevelType w:val="hybridMultilevel"/>
    <w:tmpl w:val="B59803EE"/>
    <w:lvl w:ilvl="0" w:tplc="481833D4">
      <w:start w:val="2"/>
      <w:numFmt w:val="bullet"/>
      <w:lvlText w:val="-"/>
      <w:lvlJc w:val="left"/>
      <w:pPr>
        <w:ind w:left="1065" w:hanging="360"/>
      </w:pPr>
      <w:rPr>
        <w:rFonts w:ascii="Arial" w:eastAsia="Times New Roman"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9">
    <w:nsid w:val="1B6D492B"/>
    <w:multiLevelType w:val="hybridMultilevel"/>
    <w:tmpl w:val="3ADA218A"/>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D643E20"/>
    <w:multiLevelType w:val="hybridMultilevel"/>
    <w:tmpl w:val="EC58AE0C"/>
    <w:lvl w:ilvl="0" w:tplc="55389AC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DD53DCA"/>
    <w:multiLevelType w:val="hybridMultilevel"/>
    <w:tmpl w:val="78C6C166"/>
    <w:lvl w:ilvl="0" w:tplc="F12A66D6">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nsid w:val="203264DB"/>
    <w:multiLevelType w:val="hybridMultilevel"/>
    <w:tmpl w:val="73A4D7D8"/>
    <w:lvl w:ilvl="0" w:tplc="8988A12A">
      <w:start w:val="2"/>
      <w:numFmt w:val="bullet"/>
      <w:lvlText w:val="-"/>
      <w:lvlJc w:val="left"/>
      <w:pPr>
        <w:ind w:left="1065" w:hanging="360"/>
      </w:pPr>
      <w:rPr>
        <w:rFonts w:ascii="Arial" w:eastAsia="Times New Roman"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3">
    <w:nsid w:val="25612860"/>
    <w:multiLevelType w:val="hybridMultilevel"/>
    <w:tmpl w:val="9C701FE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CF627EE"/>
    <w:multiLevelType w:val="hybridMultilevel"/>
    <w:tmpl w:val="72D6EA60"/>
    <w:lvl w:ilvl="0" w:tplc="4642A6B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FD670B8"/>
    <w:multiLevelType w:val="hybridMultilevel"/>
    <w:tmpl w:val="A8BCD890"/>
    <w:lvl w:ilvl="0" w:tplc="E682A364">
      <w:start w:val="3"/>
      <w:numFmt w:val="lowerLetter"/>
      <w:lvlText w:val="%1)"/>
      <w:lvlJc w:val="left"/>
      <w:pPr>
        <w:tabs>
          <w:tab w:val="num" w:pos="1113"/>
        </w:tabs>
        <w:ind w:left="1113" w:hanging="405"/>
      </w:pPr>
      <w:rPr>
        <w:rFonts w:hint="default"/>
        <w:u w:val="none"/>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6">
    <w:nsid w:val="327C7137"/>
    <w:multiLevelType w:val="hybridMultilevel"/>
    <w:tmpl w:val="082CFC8E"/>
    <w:lvl w:ilvl="0" w:tplc="0409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6591FED"/>
    <w:multiLevelType w:val="hybridMultilevel"/>
    <w:tmpl w:val="04B018A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6FD45A5"/>
    <w:multiLevelType w:val="hybridMultilevel"/>
    <w:tmpl w:val="1AA0C19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89F5DB4"/>
    <w:multiLevelType w:val="hybridMultilevel"/>
    <w:tmpl w:val="2B8C234A"/>
    <w:lvl w:ilvl="0" w:tplc="1D464562">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3D011109"/>
    <w:multiLevelType w:val="hybridMultilevel"/>
    <w:tmpl w:val="007499A4"/>
    <w:lvl w:ilvl="0" w:tplc="749A9BF2">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19955AA"/>
    <w:multiLevelType w:val="hybridMultilevel"/>
    <w:tmpl w:val="CCF6B30E"/>
    <w:lvl w:ilvl="0" w:tplc="F0CC840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2C00B69"/>
    <w:multiLevelType w:val="hybridMultilevel"/>
    <w:tmpl w:val="A334959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3FB2464"/>
    <w:multiLevelType w:val="hybridMultilevel"/>
    <w:tmpl w:val="60C023D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63222B0"/>
    <w:multiLevelType w:val="hybridMultilevel"/>
    <w:tmpl w:val="A8A2D5E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9115398"/>
    <w:multiLevelType w:val="hybridMultilevel"/>
    <w:tmpl w:val="387C4A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9ED4EEF"/>
    <w:multiLevelType w:val="hybridMultilevel"/>
    <w:tmpl w:val="F86E336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4F2163D3"/>
    <w:multiLevelType w:val="hybridMultilevel"/>
    <w:tmpl w:val="ECEE0C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514053C6"/>
    <w:multiLevelType w:val="hybridMultilevel"/>
    <w:tmpl w:val="38C8AC56"/>
    <w:lvl w:ilvl="0" w:tplc="A000A396">
      <w:start w:val="6"/>
      <w:numFmt w:val="bullet"/>
      <w:lvlText w:val="-"/>
      <w:lvlJc w:val="left"/>
      <w:pPr>
        <w:tabs>
          <w:tab w:val="num" w:pos="1890"/>
        </w:tabs>
        <w:ind w:left="1890" w:hanging="360"/>
      </w:pPr>
      <w:rPr>
        <w:rFonts w:ascii="Times New Roman" w:eastAsia="Times New Roman" w:hAnsi="Times New Roman" w:cs="Times New Roman" w:hint="default"/>
      </w:rPr>
    </w:lvl>
    <w:lvl w:ilvl="1" w:tplc="0C0A0003" w:tentative="1">
      <w:start w:val="1"/>
      <w:numFmt w:val="bullet"/>
      <w:lvlText w:val="o"/>
      <w:lvlJc w:val="left"/>
      <w:pPr>
        <w:tabs>
          <w:tab w:val="num" w:pos="2610"/>
        </w:tabs>
        <w:ind w:left="2610" w:hanging="360"/>
      </w:pPr>
      <w:rPr>
        <w:rFonts w:ascii="Courier New" w:hAnsi="Courier New" w:hint="default"/>
      </w:rPr>
    </w:lvl>
    <w:lvl w:ilvl="2" w:tplc="0C0A0005" w:tentative="1">
      <w:start w:val="1"/>
      <w:numFmt w:val="bullet"/>
      <w:lvlText w:val=""/>
      <w:lvlJc w:val="left"/>
      <w:pPr>
        <w:tabs>
          <w:tab w:val="num" w:pos="3330"/>
        </w:tabs>
        <w:ind w:left="3330" w:hanging="360"/>
      </w:pPr>
      <w:rPr>
        <w:rFonts w:ascii="Wingdings" w:hAnsi="Wingdings" w:hint="default"/>
      </w:rPr>
    </w:lvl>
    <w:lvl w:ilvl="3" w:tplc="0C0A0001" w:tentative="1">
      <w:start w:val="1"/>
      <w:numFmt w:val="bullet"/>
      <w:lvlText w:val=""/>
      <w:lvlJc w:val="left"/>
      <w:pPr>
        <w:tabs>
          <w:tab w:val="num" w:pos="4050"/>
        </w:tabs>
        <w:ind w:left="4050" w:hanging="360"/>
      </w:pPr>
      <w:rPr>
        <w:rFonts w:ascii="Symbol" w:hAnsi="Symbol" w:hint="default"/>
      </w:rPr>
    </w:lvl>
    <w:lvl w:ilvl="4" w:tplc="0C0A0003" w:tentative="1">
      <w:start w:val="1"/>
      <w:numFmt w:val="bullet"/>
      <w:lvlText w:val="o"/>
      <w:lvlJc w:val="left"/>
      <w:pPr>
        <w:tabs>
          <w:tab w:val="num" w:pos="4770"/>
        </w:tabs>
        <w:ind w:left="4770" w:hanging="360"/>
      </w:pPr>
      <w:rPr>
        <w:rFonts w:ascii="Courier New" w:hAnsi="Courier New" w:hint="default"/>
      </w:rPr>
    </w:lvl>
    <w:lvl w:ilvl="5" w:tplc="0C0A0005" w:tentative="1">
      <w:start w:val="1"/>
      <w:numFmt w:val="bullet"/>
      <w:lvlText w:val=""/>
      <w:lvlJc w:val="left"/>
      <w:pPr>
        <w:tabs>
          <w:tab w:val="num" w:pos="5490"/>
        </w:tabs>
        <w:ind w:left="5490" w:hanging="360"/>
      </w:pPr>
      <w:rPr>
        <w:rFonts w:ascii="Wingdings" w:hAnsi="Wingdings" w:hint="default"/>
      </w:rPr>
    </w:lvl>
    <w:lvl w:ilvl="6" w:tplc="0C0A0001" w:tentative="1">
      <w:start w:val="1"/>
      <w:numFmt w:val="bullet"/>
      <w:lvlText w:val=""/>
      <w:lvlJc w:val="left"/>
      <w:pPr>
        <w:tabs>
          <w:tab w:val="num" w:pos="6210"/>
        </w:tabs>
        <w:ind w:left="6210" w:hanging="360"/>
      </w:pPr>
      <w:rPr>
        <w:rFonts w:ascii="Symbol" w:hAnsi="Symbol" w:hint="default"/>
      </w:rPr>
    </w:lvl>
    <w:lvl w:ilvl="7" w:tplc="0C0A0003" w:tentative="1">
      <w:start w:val="1"/>
      <w:numFmt w:val="bullet"/>
      <w:lvlText w:val="o"/>
      <w:lvlJc w:val="left"/>
      <w:pPr>
        <w:tabs>
          <w:tab w:val="num" w:pos="6930"/>
        </w:tabs>
        <w:ind w:left="6930" w:hanging="360"/>
      </w:pPr>
      <w:rPr>
        <w:rFonts w:ascii="Courier New" w:hAnsi="Courier New" w:hint="default"/>
      </w:rPr>
    </w:lvl>
    <w:lvl w:ilvl="8" w:tplc="0C0A0005" w:tentative="1">
      <w:start w:val="1"/>
      <w:numFmt w:val="bullet"/>
      <w:lvlText w:val=""/>
      <w:lvlJc w:val="left"/>
      <w:pPr>
        <w:tabs>
          <w:tab w:val="num" w:pos="7650"/>
        </w:tabs>
        <w:ind w:left="7650" w:hanging="360"/>
      </w:pPr>
      <w:rPr>
        <w:rFonts w:ascii="Wingdings" w:hAnsi="Wingdings" w:hint="default"/>
      </w:rPr>
    </w:lvl>
  </w:abstractNum>
  <w:abstractNum w:abstractNumId="29">
    <w:nsid w:val="532276C4"/>
    <w:multiLevelType w:val="hybridMultilevel"/>
    <w:tmpl w:val="60ECAC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48005C2"/>
    <w:multiLevelType w:val="hybridMultilevel"/>
    <w:tmpl w:val="25F8E760"/>
    <w:lvl w:ilvl="0" w:tplc="2918DF24">
      <w:start w:val="2"/>
      <w:numFmt w:val="bullet"/>
      <w:lvlText w:val="-"/>
      <w:lvlJc w:val="left"/>
      <w:pPr>
        <w:ind w:left="1065" w:hanging="360"/>
      </w:pPr>
      <w:rPr>
        <w:rFonts w:ascii="Arial" w:eastAsia="Times New Roman"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31">
    <w:nsid w:val="572A20E9"/>
    <w:multiLevelType w:val="hybridMultilevel"/>
    <w:tmpl w:val="513A723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C766C96"/>
    <w:multiLevelType w:val="hybridMultilevel"/>
    <w:tmpl w:val="D0F0435E"/>
    <w:lvl w:ilvl="0" w:tplc="6A48E61E">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03803BF"/>
    <w:multiLevelType w:val="hybridMultilevel"/>
    <w:tmpl w:val="BFFCE0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66701D17"/>
    <w:multiLevelType w:val="hybridMultilevel"/>
    <w:tmpl w:val="6EBA47BC"/>
    <w:lvl w:ilvl="0" w:tplc="100CFE7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D617554"/>
    <w:multiLevelType w:val="hybridMultilevel"/>
    <w:tmpl w:val="9CC0DDA8"/>
    <w:lvl w:ilvl="0" w:tplc="9BAA767A">
      <w:start w:val="2"/>
      <w:numFmt w:val="bullet"/>
      <w:lvlText w:val="-"/>
      <w:lvlJc w:val="left"/>
      <w:pPr>
        <w:ind w:left="1065" w:hanging="360"/>
      </w:pPr>
      <w:rPr>
        <w:rFonts w:ascii="Arial" w:eastAsia="Times New Roman"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36">
    <w:nsid w:val="709E2321"/>
    <w:multiLevelType w:val="hybridMultilevel"/>
    <w:tmpl w:val="4C6C1F02"/>
    <w:lvl w:ilvl="0" w:tplc="366083F8">
      <w:start w:val="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D2A1AFF"/>
    <w:multiLevelType w:val="hybridMultilevel"/>
    <w:tmpl w:val="ECEE0C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E375EF7"/>
    <w:multiLevelType w:val="hybridMultilevel"/>
    <w:tmpl w:val="1C3EE1C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1"/>
  </w:num>
  <w:num w:numId="3">
    <w:abstractNumId w:val="10"/>
  </w:num>
  <w:num w:numId="4">
    <w:abstractNumId w:val="28"/>
  </w:num>
  <w:num w:numId="5">
    <w:abstractNumId w:val="9"/>
  </w:num>
  <w:num w:numId="6">
    <w:abstractNumId w:val="14"/>
  </w:num>
  <w:num w:numId="7">
    <w:abstractNumId w:val="20"/>
  </w:num>
  <w:num w:numId="8">
    <w:abstractNumId w:val="6"/>
  </w:num>
  <w:num w:numId="9">
    <w:abstractNumId w:val="13"/>
  </w:num>
  <w:num w:numId="10">
    <w:abstractNumId w:val="34"/>
  </w:num>
  <w:num w:numId="11">
    <w:abstractNumId w:val="36"/>
  </w:num>
  <w:num w:numId="12">
    <w:abstractNumId w:val="23"/>
  </w:num>
  <w:num w:numId="13">
    <w:abstractNumId w:val="22"/>
  </w:num>
  <w:num w:numId="14">
    <w:abstractNumId w:val="25"/>
  </w:num>
  <w:num w:numId="15">
    <w:abstractNumId w:val="18"/>
  </w:num>
  <w:num w:numId="16">
    <w:abstractNumId w:val="3"/>
  </w:num>
  <w:num w:numId="17">
    <w:abstractNumId w:val="4"/>
  </w:num>
  <w:num w:numId="18">
    <w:abstractNumId w:val="15"/>
  </w:num>
  <w:num w:numId="19">
    <w:abstractNumId w:val="24"/>
  </w:num>
  <w:num w:numId="20">
    <w:abstractNumId w:val="29"/>
  </w:num>
  <w:num w:numId="21">
    <w:abstractNumId w:val="17"/>
  </w:num>
  <w:num w:numId="22">
    <w:abstractNumId w:val="31"/>
  </w:num>
  <w:num w:numId="23">
    <w:abstractNumId w:val="35"/>
  </w:num>
  <w:num w:numId="24">
    <w:abstractNumId w:val="19"/>
  </w:num>
  <w:num w:numId="25">
    <w:abstractNumId w:val="12"/>
  </w:num>
  <w:num w:numId="26">
    <w:abstractNumId w:val="8"/>
  </w:num>
  <w:num w:numId="27">
    <w:abstractNumId w:val="30"/>
  </w:num>
  <w:num w:numId="28">
    <w:abstractNumId w:val="0"/>
  </w:num>
  <w:num w:numId="29">
    <w:abstractNumId w:val="32"/>
  </w:num>
  <w:num w:numId="30">
    <w:abstractNumId w:val="33"/>
  </w:num>
  <w:num w:numId="31">
    <w:abstractNumId w:val="27"/>
  </w:num>
  <w:num w:numId="32">
    <w:abstractNumId w:val="7"/>
  </w:num>
  <w:num w:numId="33">
    <w:abstractNumId w:val="2"/>
  </w:num>
  <w:num w:numId="34">
    <w:abstractNumId w:val="38"/>
  </w:num>
  <w:num w:numId="35">
    <w:abstractNumId w:val="26"/>
  </w:num>
  <w:num w:numId="36">
    <w:abstractNumId w:val="5"/>
  </w:num>
  <w:num w:numId="37">
    <w:abstractNumId w:val="37"/>
  </w:num>
  <w:num w:numId="38">
    <w:abstractNumId w:val="1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C8"/>
    <w:rsid w:val="00007CF7"/>
    <w:rsid w:val="00010191"/>
    <w:rsid w:val="00012EA4"/>
    <w:rsid w:val="00017AA6"/>
    <w:rsid w:val="00030CF2"/>
    <w:rsid w:val="00040BF7"/>
    <w:rsid w:val="00041022"/>
    <w:rsid w:val="00051BA6"/>
    <w:rsid w:val="00084951"/>
    <w:rsid w:val="0009549B"/>
    <w:rsid w:val="000B41A9"/>
    <w:rsid w:val="000D10A2"/>
    <w:rsid w:val="000E1F79"/>
    <w:rsid w:val="000F5AF7"/>
    <w:rsid w:val="0010591B"/>
    <w:rsid w:val="00141F26"/>
    <w:rsid w:val="00146983"/>
    <w:rsid w:val="00186F63"/>
    <w:rsid w:val="00187BDA"/>
    <w:rsid w:val="00192C5E"/>
    <w:rsid w:val="001A5B0C"/>
    <w:rsid w:val="001B2228"/>
    <w:rsid w:val="001B3698"/>
    <w:rsid w:val="001E11D9"/>
    <w:rsid w:val="001F5796"/>
    <w:rsid w:val="001F6BC9"/>
    <w:rsid w:val="001F7A90"/>
    <w:rsid w:val="00212DCF"/>
    <w:rsid w:val="002142B3"/>
    <w:rsid w:val="00230E83"/>
    <w:rsid w:val="00254F39"/>
    <w:rsid w:val="0028507D"/>
    <w:rsid w:val="0029007C"/>
    <w:rsid w:val="002A0159"/>
    <w:rsid w:val="002A7057"/>
    <w:rsid w:val="003042CE"/>
    <w:rsid w:val="00305C6A"/>
    <w:rsid w:val="00305F59"/>
    <w:rsid w:val="00307ABB"/>
    <w:rsid w:val="00310498"/>
    <w:rsid w:val="0032644F"/>
    <w:rsid w:val="00326DC8"/>
    <w:rsid w:val="00340EEE"/>
    <w:rsid w:val="00347BFD"/>
    <w:rsid w:val="00355872"/>
    <w:rsid w:val="00373D6C"/>
    <w:rsid w:val="00387E8C"/>
    <w:rsid w:val="00392F47"/>
    <w:rsid w:val="00397342"/>
    <w:rsid w:val="003B263F"/>
    <w:rsid w:val="003C0B2C"/>
    <w:rsid w:val="003F50E1"/>
    <w:rsid w:val="003F6ED0"/>
    <w:rsid w:val="0040448B"/>
    <w:rsid w:val="004103DD"/>
    <w:rsid w:val="00422732"/>
    <w:rsid w:val="0044119C"/>
    <w:rsid w:val="00442B50"/>
    <w:rsid w:val="00454921"/>
    <w:rsid w:val="00456CB0"/>
    <w:rsid w:val="00462B06"/>
    <w:rsid w:val="004631D8"/>
    <w:rsid w:val="004676C8"/>
    <w:rsid w:val="00475873"/>
    <w:rsid w:val="004C405F"/>
    <w:rsid w:val="004C4299"/>
    <w:rsid w:val="004D7A0C"/>
    <w:rsid w:val="004F6BC9"/>
    <w:rsid w:val="0051129E"/>
    <w:rsid w:val="00527F2F"/>
    <w:rsid w:val="005430E7"/>
    <w:rsid w:val="00544AD4"/>
    <w:rsid w:val="00562CCF"/>
    <w:rsid w:val="005658D7"/>
    <w:rsid w:val="00566308"/>
    <w:rsid w:val="00572561"/>
    <w:rsid w:val="005A7B04"/>
    <w:rsid w:val="005C45F2"/>
    <w:rsid w:val="005E3A0B"/>
    <w:rsid w:val="005E475D"/>
    <w:rsid w:val="005F7496"/>
    <w:rsid w:val="00600995"/>
    <w:rsid w:val="00601ED4"/>
    <w:rsid w:val="00605E9A"/>
    <w:rsid w:val="00606804"/>
    <w:rsid w:val="00670966"/>
    <w:rsid w:val="00685F7D"/>
    <w:rsid w:val="00687536"/>
    <w:rsid w:val="006A41FD"/>
    <w:rsid w:val="006C0E0B"/>
    <w:rsid w:val="006C1630"/>
    <w:rsid w:val="006E22E4"/>
    <w:rsid w:val="006F52AC"/>
    <w:rsid w:val="00700FD7"/>
    <w:rsid w:val="00712137"/>
    <w:rsid w:val="00727948"/>
    <w:rsid w:val="00764CFA"/>
    <w:rsid w:val="00776BF2"/>
    <w:rsid w:val="00790E56"/>
    <w:rsid w:val="00794B21"/>
    <w:rsid w:val="007A0BDB"/>
    <w:rsid w:val="007A0C08"/>
    <w:rsid w:val="007B5572"/>
    <w:rsid w:val="007C2563"/>
    <w:rsid w:val="007D192B"/>
    <w:rsid w:val="007D66BE"/>
    <w:rsid w:val="007E63CC"/>
    <w:rsid w:val="007F2B96"/>
    <w:rsid w:val="008325FA"/>
    <w:rsid w:val="008467BE"/>
    <w:rsid w:val="00846B3F"/>
    <w:rsid w:val="0089186E"/>
    <w:rsid w:val="008A5F4F"/>
    <w:rsid w:val="008B53BB"/>
    <w:rsid w:val="008B6895"/>
    <w:rsid w:val="008C66A1"/>
    <w:rsid w:val="008E581F"/>
    <w:rsid w:val="008E6172"/>
    <w:rsid w:val="008F21DF"/>
    <w:rsid w:val="00910399"/>
    <w:rsid w:val="00917ED3"/>
    <w:rsid w:val="00922A52"/>
    <w:rsid w:val="00935AE2"/>
    <w:rsid w:val="00940007"/>
    <w:rsid w:val="00970404"/>
    <w:rsid w:val="00973095"/>
    <w:rsid w:val="009934E1"/>
    <w:rsid w:val="009A4AEF"/>
    <w:rsid w:val="009B01A9"/>
    <w:rsid w:val="009B6A4A"/>
    <w:rsid w:val="009C3771"/>
    <w:rsid w:val="009C51A6"/>
    <w:rsid w:val="009E5A86"/>
    <w:rsid w:val="00A0022E"/>
    <w:rsid w:val="00A12D35"/>
    <w:rsid w:val="00A12FF8"/>
    <w:rsid w:val="00A22A79"/>
    <w:rsid w:val="00A267E1"/>
    <w:rsid w:val="00A3091C"/>
    <w:rsid w:val="00A63F2F"/>
    <w:rsid w:val="00A6547B"/>
    <w:rsid w:val="00A6589E"/>
    <w:rsid w:val="00A915A4"/>
    <w:rsid w:val="00AA521E"/>
    <w:rsid w:val="00AD131A"/>
    <w:rsid w:val="00AD442B"/>
    <w:rsid w:val="00AD6811"/>
    <w:rsid w:val="00AF74EE"/>
    <w:rsid w:val="00B15DC6"/>
    <w:rsid w:val="00B1634C"/>
    <w:rsid w:val="00B20CDE"/>
    <w:rsid w:val="00B22728"/>
    <w:rsid w:val="00B27391"/>
    <w:rsid w:val="00B46ACD"/>
    <w:rsid w:val="00B5257C"/>
    <w:rsid w:val="00B54E09"/>
    <w:rsid w:val="00B6690B"/>
    <w:rsid w:val="00B735E8"/>
    <w:rsid w:val="00B87078"/>
    <w:rsid w:val="00B926EE"/>
    <w:rsid w:val="00BB6648"/>
    <w:rsid w:val="00BD6D84"/>
    <w:rsid w:val="00C02E5B"/>
    <w:rsid w:val="00C53D90"/>
    <w:rsid w:val="00C652AA"/>
    <w:rsid w:val="00C74F63"/>
    <w:rsid w:val="00C75838"/>
    <w:rsid w:val="00C75C9B"/>
    <w:rsid w:val="00C94168"/>
    <w:rsid w:val="00CC4C3F"/>
    <w:rsid w:val="00CC52E3"/>
    <w:rsid w:val="00CD5DCC"/>
    <w:rsid w:val="00CF06E9"/>
    <w:rsid w:val="00D15AA1"/>
    <w:rsid w:val="00D17085"/>
    <w:rsid w:val="00D24650"/>
    <w:rsid w:val="00D31D5E"/>
    <w:rsid w:val="00D60469"/>
    <w:rsid w:val="00D8151A"/>
    <w:rsid w:val="00D923E3"/>
    <w:rsid w:val="00DC445D"/>
    <w:rsid w:val="00E11915"/>
    <w:rsid w:val="00E51C7C"/>
    <w:rsid w:val="00E57AA8"/>
    <w:rsid w:val="00E668F1"/>
    <w:rsid w:val="00EC1816"/>
    <w:rsid w:val="00EC6943"/>
    <w:rsid w:val="00F02270"/>
    <w:rsid w:val="00F067FC"/>
    <w:rsid w:val="00F200B0"/>
    <w:rsid w:val="00F23F6A"/>
    <w:rsid w:val="00F24BDA"/>
    <w:rsid w:val="00F46773"/>
    <w:rsid w:val="00F50AB4"/>
    <w:rsid w:val="00F518D4"/>
    <w:rsid w:val="00F65416"/>
    <w:rsid w:val="00F67AC1"/>
    <w:rsid w:val="00F7178F"/>
    <w:rsid w:val="00F8655C"/>
    <w:rsid w:val="00F96E8D"/>
    <w:rsid w:val="00F97E59"/>
    <w:rsid w:val="00FA412C"/>
    <w:rsid w:val="00FB0004"/>
    <w:rsid w:val="00FC1099"/>
    <w:rsid w:val="00FD4462"/>
    <w:rsid w:val="00FF2A51"/>
    <w:rsid w:val="00FF5B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qFormat/>
    <w:pPr>
      <w:keepNext/>
      <w:spacing w:line="360" w:lineRule="auto"/>
      <w:jc w:val="both"/>
      <w:outlineLvl w:val="0"/>
    </w:pPr>
    <w:rPr>
      <w:b/>
      <w:szCs w:val="20"/>
      <w:lang w:val="es-MX"/>
    </w:rPr>
  </w:style>
  <w:style w:type="paragraph" w:styleId="Ttulo2">
    <w:name w:val="heading 2"/>
    <w:basedOn w:val="Normal"/>
    <w:next w:val="Normal"/>
    <w:qFormat/>
    <w:pPr>
      <w:keepNext/>
      <w:spacing w:line="360" w:lineRule="auto"/>
      <w:jc w:val="both"/>
      <w:outlineLvl w:val="1"/>
    </w:pPr>
    <w:rPr>
      <w:b/>
      <w:i/>
      <w:iCs/>
      <w:lang w:val="es-MX"/>
    </w:rPr>
  </w:style>
  <w:style w:type="paragraph" w:styleId="Ttulo3">
    <w:name w:val="heading 3"/>
    <w:basedOn w:val="Normal"/>
    <w:next w:val="Normal"/>
    <w:qFormat/>
    <w:pPr>
      <w:keepNext/>
      <w:spacing w:line="360" w:lineRule="auto"/>
      <w:outlineLvl w:val="2"/>
    </w:pPr>
    <w:rPr>
      <w:b/>
      <w:bCs/>
      <w:i/>
      <w:iCs/>
      <w:sz w:val="22"/>
      <w:lang w:val="es-MX"/>
    </w:rPr>
  </w:style>
  <w:style w:type="paragraph" w:styleId="Ttulo4">
    <w:name w:val="heading 4"/>
    <w:basedOn w:val="Normal"/>
    <w:next w:val="Normal"/>
    <w:link w:val="Ttulo4Car"/>
    <w:qFormat/>
    <w:pPr>
      <w:keepNext/>
      <w:spacing w:line="360" w:lineRule="auto"/>
      <w:jc w:val="center"/>
      <w:outlineLvl w:val="3"/>
    </w:pPr>
    <w:rPr>
      <w:b/>
      <w:u w:val="single"/>
      <w:lang w:val="es-MX"/>
    </w:rPr>
  </w:style>
  <w:style w:type="paragraph" w:styleId="Ttulo5">
    <w:name w:val="heading 5"/>
    <w:basedOn w:val="Normal"/>
    <w:next w:val="Normal"/>
    <w:link w:val="Ttulo5Car"/>
    <w:qFormat/>
    <w:pPr>
      <w:keepNext/>
      <w:spacing w:line="360" w:lineRule="auto"/>
      <w:jc w:val="center"/>
      <w:outlineLvl w:val="4"/>
    </w:pPr>
    <w:rPr>
      <w:b/>
      <w:bCs/>
    </w:rPr>
  </w:style>
  <w:style w:type="paragraph" w:styleId="Ttulo6">
    <w:name w:val="heading 6"/>
    <w:basedOn w:val="Normal"/>
    <w:next w:val="Normal"/>
    <w:qFormat/>
    <w:pPr>
      <w:keepNext/>
      <w:spacing w:line="360" w:lineRule="auto"/>
      <w:jc w:val="center"/>
      <w:outlineLvl w:val="5"/>
    </w:pPr>
    <w:rPr>
      <w:b/>
      <w:bCs/>
      <w:color w:val="0000FF"/>
      <w:lang w:val="es-MX"/>
    </w:rPr>
  </w:style>
  <w:style w:type="paragraph" w:styleId="Ttulo7">
    <w:name w:val="heading 7"/>
    <w:basedOn w:val="Normal"/>
    <w:next w:val="Normal"/>
    <w:link w:val="Ttulo7Car"/>
    <w:qFormat/>
    <w:pPr>
      <w:keepNext/>
      <w:spacing w:line="360" w:lineRule="auto"/>
      <w:jc w:val="center"/>
      <w:outlineLvl w:val="6"/>
    </w:pPr>
    <w:rPr>
      <w:b/>
      <w:sz w:val="20"/>
      <w:lang w:val="es-MX"/>
    </w:rPr>
  </w:style>
  <w:style w:type="paragraph" w:styleId="Ttulo9">
    <w:name w:val="heading 9"/>
    <w:basedOn w:val="Normal"/>
    <w:next w:val="Normal"/>
    <w:qFormat/>
    <w:pPr>
      <w:keepNext/>
      <w:spacing w:line="360" w:lineRule="auto"/>
      <w:jc w:val="both"/>
      <w:outlineLvl w:val="8"/>
    </w:pPr>
    <w:rPr>
      <w:b/>
      <w:i/>
      <w:iCs/>
      <w:color w:val="00000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b/>
      <w:szCs w:val="20"/>
      <w:u w:val="single"/>
      <w:lang w:val="es-MX"/>
    </w:rPr>
  </w:style>
  <w:style w:type="paragraph" w:styleId="Textoindependiente">
    <w:name w:val="Body Text"/>
    <w:basedOn w:val="Normal"/>
    <w:semiHidden/>
    <w:pPr>
      <w:spacing w:line="360" w:lineRule="auto"/>
      <w:jc w:val="both"/>
    </w:pPr>
    <w:rPr>
      <w:bCs/>
      <w:i/>
      <w:iCs/>
      <w:sz w:val="20"/>
      <w:lang w:val="es-MX"/>
    </w:rPr>
  </w:style>
  <w:style w:type="paragraph" w:styleId="Textoindependiente2">
    <w:name w:val="Body Text 2"/>
    <w:basedOn w:val="Normal"/>
    <w:link w:val="Textoindependiente2Car"/>
    <w:semiHidden/>
    <w:pPr>
      <w:spacing w:line="360" w:lineRule="auto"/>
      <w:jc w:val="both"/>
    </w:pPr>
    <w:rPr>
      <w:bCs/>
      <w:lang w:val="es-MX"/>
    </w:rPr>
  </w:style>
  <w:style w:type="paragraph" w:styleId="Textonotapie">
    <w:name w:val="footnote text"/>
    <w:basedOn w:val="Normal"/>
    <w:semiHidden/>
    <w:rPr>
      <w:rFonts w:cs="Times New Roman"/>
      <w:sz w:val="20"/>
      <w:szCs w:val="20"/>
    </w:rPr>
  </w:style>
  <w:style w:type="paragraph" w:styleId="Textoindependiente3">
    <w:name w:val="Body Text 3"/>
    <w:basedOn w:val="Normal"/>
    <w:semiHidden/>
    <w:pPr>
      <w:spacing w:line="360" w:lineRule="auto"/>
      <w:jc w:val="both"/>
    </w:pPr>
    <w:rPr>
      <w:b/>
      <w:i/>
      <w:iCs/>
      <w:sz w:val="20"/>
      <w:lang w:val="es-MX"/>
    </w:rPr>
  </w:style>
  <w:style w:type="character" w:styleId="Refdenotaalpie">
    <w:name w:val="footnote reference"/>
    <w:semiHidden/>
    <w:rPr>
      <w:vertAlign w:val="superscript"/>
    </w:rPr>
  </w:style>
  <w:style w:type="paragraph" w:styleId="Sangradetextonormal">
    <w:name w:val="Body Text Indent"/>
    <w:basedOn w:val="Normal"/>
    <w:semiHidden/>
    <w:pPr>
      <w:spacing w:line="360" w:lineRule="auto"/>
      <w:ind w:firstLine="708"/>
      <w:jc w:val="both"/>
    </w:pPr>
    <w:rPr>
      <w:bCs/>
      <w:lang w:val="es-MX"/>
    </w:rPr>
  </w:style>
  <w:style w:type="paragraph" w:styleId="Sangra2detindependiente">
    <w:name w:val="Body Text Indent 2"/>
    <w:basedOn w:val="Normal"/>
    <w:semiHidden/>
    <w:pPr>
      <w:spacing w:line="360" w:lineRule="auto"/>
      <w:ind w:firstLine="708"/>
      <w:jc w:val="both"/>
    </w:pPr>
    <w:rPr>
      <w:bCs/>
      <w:color w:val="FF0000"/>
      <w:lang w:val="es-MX"/>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customStyle="1" w:styleId="Default">
    <w:name w:val="Default"/>
    <w:pPr>
      <w:autoSpaceDE w:val="0"/>
      <w:autoSpaceDN w:val="0"/>
      <w:adjustRightInd w:val="0"/>
    </w:pPr>
    <w:rPr>
      <w:rFonts w:ascii="Calibri" w:hAnsi="Calibri"/>
      <w:color w:val="000000"/>
      <w:sz w:val="24"/>
      <w:szCs w:val="24"/>
      <w:lang w:val="es-ES" w:eastAsia="es-ES"/>
    </w:rPr>
  </w:style>
  <w:style w:type="character" w:customStyle="1" w:styleId="Ttulo1Car">
    <w:name w:val="Título 1 Car"/>
    <w:link w:val="Ttulo1"/>
    <w:rsid w:val="00E57AA8"/>
    <w:rPr>
      <w:rFonts w:ascii="Arial" w:hAnsi="Arial" w:cs="Arial"/>
      <w:b/>
      <w:sz w:val="24"/>
      <w:lang w:val="es-MX" w:eastAsia="es-ES"/>
    </w:rPr>
  </w:style>
  <w:style w:type="character" w:customStyle="1" w:styleId="Ttulo4Car">
    <w:name w:val="Título 4 Car"/>
    <w:link w:val="Ttulo4"/>
    <w:rsid w:val="00E57AA8"/>
    <w:rPr>
      <w:rFonts w:ascii="Arial" w:hAnsi="Arial" w:cs="Arial"/>
      <w:b/>
      <w:sz w:val="24"/>
      <w:szCs w:val="24"/>
      <w:u w:val="single"/>
      <w:lang w:val="es-MX" w:eastAsia="es-ES"/>
    </w:rPr>
  </w:style>
  <w:style w:type="character" w:customStyle="1" w:styleId="Textoindependiente2Car">
    <w:name w:val="Texto independiente 2 Car"/>
    <w:link w:val="Textoindependiente2"/>
    <w:semiHidden/>
    <w:rsid w:val="00E57AA8"/>
    <w:rPr>
      <w:rFonts w:ascii="Arial" w:hAnsi="Arial" w:cs="Arial"/>
      <w:bCs/>
      <w:sz w:val="24"/>
      <w:szCs w:val="24"/>
      <w:lang w:val="es-MX" w:eastAsia="es-ES"/>
    </w:rPr>
  </w:style>
  <w:style w:type="table" w:styleId="Tablaconcuadrcula">
    <w:name w:val="Table Grid"/>
    <w:basedOn w:val="Tablanormal"/>
    <w:uiPriority w:val="59"/>
    <w:rsid w:val="00891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link w:val="Ttulo5"/>
    <w:rsid w:val="00606804"/>
    <w:rPr>
      <w:rFonts w:ascii="Arial" w:hAnsi="Arial" w:cs="Arial"/>
      <w:b/>
      <w:bCs/>
      <w:sz w:val="24"/>
      <w:szCs w:val="24"/>
      <w:lang w:val="es-ES" w:eastAsia="es-ES"/>
    </w:rPr>
  </w:style>
  <w:style w:type="character" w:customStyle="1" w:styleId="Ttulo7Car">
    <w:name w:val="Título 7 Car"/>
    <w:link w:val="Ttulo7"/>
    <w:rsid w:val="00606804"/>
    <w:rPr>
      <w:rFonts w:ascii="Arial" w:hAnsi="Arial" w:cs="Arial"/>
      <w:b/>
      <w:szCs w:val="24"/>
      <w:lang w:val="es-MX" w:eastAsia="es-ES"/>
    </w:rPr>
  </w:style>
  <w:style w:type="paragraph" w:styleId="Textodeglobo">
    <w:name w:val="Balloon Text"/>
    <w:basedOn w:val="Normal"/>
    <w:link w:val="TextodegloboCar"/>
    <w:uiPriority w:val="99"/>
    <w:semiHidden/>
    <w:unhideWhenUsed/>
    <w:rsid w:val="002142B3"/>
    <w:rPr>
      <w:rFonts w:ascii="Tahoma" w:hAnsi="Tahoma" w:cs="Tahoma"/>
      <w:sz w:val="16"/>
      <w:szCs w:val="16"/>
    </w:rPr>
  </w:style>
  <w:style w:type="character" w:customStyle="1" w:styleId="TextodegloboCar">
    <w:name w:val="Texto de globo Car"/>
    <w:link w:val="Textodeglobo"/>
    <w:uiPriority w:val="99"/>
    <w:semiHidden/>
    <w:rsid w:val="002142B3"/>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qFormat/>
    <w:pPr>
      <w:keepNext/>
      <w:spacing w:line="360" w:lineRule="auto"/>
      <w:jc w:val="both"/>
      <w:outlineLvl w:val="0"/>
    </w:pPr>
    <w:rPr>
      <w:b/>
      <w:szCs w:val="20"/>
      <w:lang w:val="es-MX"/>
    </w:rPr>
  </w:style>
  <w:style w:type="paragraph" w:styleId="Ttulo2">
    <w:name w:val="heading 2"/>
    <w:basedOn w:val="Normal"/>
    <w:next w:val="Normal"/>
    <w:qFormat/>
    <w:pPr>
      <w:keepNext/>
      <w:spacing w:line="360" w:lineRule="auto"/>
      <w:jc w:val="both"/>
      <w:outlineLvl w:val="1"/>
    </w:pPr>
    <w:rPr>
      <w:b/>
      <w:i/>
      <w:iCs/>
      <w:lang w:val="es-MX"/>
    </w:rPr>
  </w:style>
  <w:style w:type="paragraph" w:styleId="Ttulo3">
    <w:name w:val="heading 3"/>
    <w:basedOn w:val="Normal"/>
    <w:next w:val="Normal"/>
    <w:qFormat/>
    <w:pPr>
      <w:keepNext/>
      <w:spacing w:line="360" w:lineRule="auto"/>
      <w:outlineLvl w:val="2"/>
    </w:pPr>
    <w:rPr>
      <w:b/>
      <w:bCs/>
      <w:i/>
      <w:iCs/>
      <w:sz w:val="22"/>
      <w:lang w:val="es-MX"/>
    </w:rPr>
  </w:style>
  <w:style w:type="paragraph" w:styleId="Ttulo4">
    <w:name w:val="heading 4"/>
    <w:basedOn w:val="Normal"/>
    <w:next w:val="Normal"/>
    <w:link w:val="Ttulo4Car"/>
    <w:qFormat/>
    <w:pPr>
      <w:keepNext/>
      <w:spacing w:line="360" w:lineRule="auto"/>
      <w:jc w:val="center"/>
      <w:outlineLvl w:val="3"/>
    </w:pPr>
    <w:rPr>
      <w:b/>
      <w:u w:val="single"/>
      <w:lang w:val="es-MX"/>
    </w:rPr>
  </w:style>
  <w:style w:type="paragraph" w:styleId="Ttulo5">
    <w:name w:val="heading 5"/>
    <w:basedOn w:val="Normal"/>
    <w:next w:val="Normal"/>
    <w:link w:val="Ttulo5Car"/>
    <w:qFormat/>
    <w:pPr>
      <w:keepNext/>
      <w:spacing w:line="360" w:lineRule="auto"/>
      <w:jc w:val="center"/>
      <w:outlineLvl w:val="4"/>
    </w:pPr>
    <w:rPr>
      <w:b/>
      <w:bCs/>
    </w:rPr>
  </w:style>
  <w:style w:type="paragraph" w:styleId="Ttulo6">
    <w:name w:val="heading 6"/>
    <w:basedOn w:val="Normal"/>
    <w:next w:val="Normal"/>
    <w:qFormat/>
    <w:pPr>
      <w:keepNext/>
      <w:spacing w:line="360" w:lineRule="auto"/>
      <w:jc w:val="center"/>
      <w:outlineLvl w:val="5"/>
    </w:pPr>
    <w:rPr>
      <w:b/>
      <w:bCs/>
      <w:color w:val="0000FF"/>
      <w:lang w:val="es-MX"/>
    </w:rPr>
  </w:style>
  <w:style w:type="paragraph" w:styleId="Ttulo7">
    <w:name w:val="heading 7"/>
    <w:basedOn w:val="Normal"/>
    <w:next w:val="Normal"/>
    <w:link w:val="Ttulo7Car"/>
    <w:qFormat/>
    <w:pPr>
      <w:keepNext/>
      <w:spacing w:line="360" w:lineRule="auto"/>
      <w:jc w:val="center"/>
      <w:outlineLvl w:val="6"/>
    </w:pPr>
    <w:rPr>
      <w:b/>
      <w:sz w:val="20"/>
      <w:lang w:val="es-MX"/>
    </w:rPr>
  </w:style>
  <w:style w:type="paragraph" w:styleId="Ttulo9">
    <w:name w:val="heading 9"/>
    <w:basedOn w:val="Normal"/>
    <w:next w:val="Normal"/>
    <w:qFormat/>
    <w:pPr>
      <w:keepNext/>
      <w:spacing w:line="360" w:lineRule="auto"/>
      <w:jc w:val="both"/>
      <w:outlineLvl w:val="8"/>
    </w:pPr>
    <w:rPr>
      <w:b/>
      <w:i/>
      <w:iCs/>
      <w:color w:val="00000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b/>
      <w:szCs w:val="20"/>
      <w:u w:val="single"/>
      <w:lang w:val="es-MX"/>
    </w:rPr>
  </w:style>
  <w:style w:type="paragraph" w:styleId="Textoindependiente">
    <w:name w:val="Body Text"/>
    <w:basedOn w:val="Normal"/>
    <w:semiHidden/>
    <w:pPr>
      <w:spacing w:line="360" w:lineRule="auto"/>
      <w:jc w:val="both"/>
    </w:pPr>
    <w:rPr>
      <w:bCs/>
      <w:i/>
      <w:iCs/>
      <w:sz w:val="20"/>
      <w:lang w:val="es-MX"/>
    </w:rPr>
  </w:style>
  <w:style w:type="paragraph" w:styleId="Textoindependiente2">
    <w:name w:val="Body Text 2"/>
    <w:basedOn w:val="Normal"/>
    <w:link w:val="Textoindependiente2Car"/>
    <w:semiHidden/>
    <w:pPr>
      <w:spacing w:line="360" w:lineRule="auto"/>
      <w:jc w:val="both"/>
    </w:pPr>
    <w:rPr>
      <w:bCs/>
      <w:lang w:val="es-MX"/>
    </w:rPr>
  </w:style>
  <w:style w:type="paragraph" w:styleId="Textonotapie">
    <w:name w:val="footnote text"/>
    <w:basedOn w:val="Normal"/>
    <w:semiHidden/>
    <w:rPr>
      <w:rFonts w:cs="Times New Roman"/>
      <w:sz w:val="20"/>
      <w:szCs w:val="20"/>
    </w:rPr>
  </w:style>
  <w:style w:type="paragraph" w:styleId="Textoindependiente3">
    <w:name w:val="Body Text 3"/>
    <w:basedOn w:val="Normal"/>
    <w:semiHidden/>
    <w:pPr>
      <w:spacing w:line="360" w:lineRule="auto"/>
      <w:jc w:val="both"/>
    </w:pPr>
    <w:rPr>
      <w:b/>
      <w:i/>
      <w:iCs/>
      <w:sz w:val="20"/>
      <w:lang w:val="es-MX"/>
    </w:rPr>
  </w:style>
  <w:style w:type="character" w:styleId="Refdenotaalpie">
    <w:name w:val="footnote reference"/>
    <w:semiHidden/>
    <w:rPr>
      <w:vertAlign w:val="superscript"/>
    </w:rPr>
  </w:style>
  <w:style w:type="paragraph" w:styleId="Sangradetextonormal">
    <w:name w:val="Body Text Indent"/>
    <w:basedOn w:val="Normal"/>
    <w:semiHidden/>
    <w:pPr>
      <w:spacing w:line="360" w:lineRule="auto"/>
      <w:ind w:firstLine="708"/>
      <w:jc w:val="both"/>
    </w:pPr>
    <w:rPr>
      <w:bCs/>
      <w:lang w:val="es-MX"/>
    </w:rPr>
  </w:style>
  <w:style w:type="paragraph" w:styleId="Sangra2detindependiente">
    <w:name w:val="Body Text Indent 2"/>
    <w:basedOn w:val="Normal"/>
    <w:semiHidden/>
    <w:pPr>
      <w:spacing w:line="360" w:lineRule="auto"/>
      <w:ind w:firstLine="708"/>
      <w:jc w:val="both"/>
    </w:pPr>
    <w:rPr>
      <w:bCs/>
      <w:color w:val="FF0000"/>
      <w:lang w:val="es-MX"/>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customStyle="1" w:styleId="Default">
    <w:name w:val="Default"/>
    <w:pPr>
      <w:autoSpaceDE w:val="0"/>
      <w:autoSpaceDN w:val="0"/>
      <w:adjustRightInd w:val="0"/>
    </w:pPr>
    <w:rPr>
      <w:rFonts w:ascii="Calibri" w:hAnsi="Calibri"/>
      <w:color w:val="000000"/>
      <w:sz w:val="24"/>
      <w:szCs w:val="24"/>
      <w:lang w:val="es-ES" w:eastAsia="es-ES"/>
    </w:rPr>
  </w:style>
  <w:style w:type="character" w:customStyle="1" w:styleId="Ttulo1Car">
    <w:name w:val="Título 1 Car"/>
    <w:link w:val="Ttulo1"/>
    <w:rsid w:val="00E57AA8"/>
    <w:rPr>
      <w:rFonts w:ascii="Arial" w:hAnsi="Arial" w:cs="Arial"/>
      <w:b/>
      <w:sz w:val="24"/>
      <w:lang w:val="es-MX" w:eastAsia="es-ES"/>
    </w:rPr>
  </w:style>
  <w:style w:type="character" w:customStyle="1" w:styleId="Ttulo4Car">
    <w:name w:val="Título 4 Car"/>
    <w:link w:val="Ttulo4"/>
    <w:rsid w:val="00E57AA8"/>
    <w:rPr>
      <w:rFonts w:ascii="Arial" w:hAnsi="Arial" w:cs="Arial"/>
      <w:b/>
      <w:sz w:val="24"/>
      <w:szCs w:val="24"/>
      <w:u w:val="single"/>
      <w:lang w:val="es-MX" w:eastAsia="es-ES"/>
    </w:rPr>
  </w:style>
  <w:style w:type="character" w:customStyle="1" w:styleId="Textoindependiente2Car">
    <w:name w:val="Texto independiente 2 Car"/>
    <w:link w:val="Textoindependiente2"/>
    <w:semiHidden/>
    <w:rsid w:val="00E57AA8"/>
    <w:rPr>
      <w:rFonts w:ascii="Arial" w:hAnsi="Arial" w:cs="Arial"/>
      <w:bCs/>
      <w:sz w:val="24"/>
      <w:szCs w:val="24"/>
      <w:lang w:val="es-MX" w:eastAsia="es-ES"/>
    </w:rPr>
  </w:style>
  <w:style w:type="table" w:styleId="Tablaconcuadrcula">
    <w:name w:val="Table Grid"/>
    <w:basedOn w:val="Tablanormal"/>
    <w:uiPriority w:val="59"/>
    <w:rsid w:val="00891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link w:val="Ttulo5"/>
    <w:rsid w:val="00606804"/>
    <w:rPr>
      <w:rFonts w:ascii="Arial" w:hAnsi="Arial" w:cs="Arial"/>
      <w:b/>
      <w:bCs/>
      <w:sz w:val="24"/>
      <w:szCs w:val="24"/>
      <w:lang w:val="es-ES" w:eastAsia="es-ES"/>
    </w:rPr>
  </w:style>
  <w:style w:type="character" w:customStyle="1" w:styleId="Ttulo7Car">
    <w:name w:val="Título 7 Car"/>
    <w:link w:val="Ttulo7"/>
    <w:rsid w:val="00606804"/>
    <w:rPr>
      <w:rFonts w:ascii="Arial" w:hAnsi="Arial" w:cs="Arial"/>
      <w:b/>
      <w:szCs w:val="24"/>
      <w:lang w:val="es-MX" w:eastAsia="es-ES"/>
    </w:rPr>
  </w:style>
  <w:style w:type="paragraph" w:styleId="Textodeglobo">
    <w:name w:val="Balloon Text"/>
    <w:basedOn w:val="Normal"/>
    <w:link w:val="TextodegloboCar"/>
    <w:uiPriority w:val="99"/>
    <w:semiHidden/>
    <w:unhideWhenUsed/>
    <w:rsid w:val="002142B3"/>
    <w:rPr>
      <w:rFonts w:ascii="Tahoma" w:hAnsi="Tahoma" w:cs="Tahoma"/>
      <w:sz w:val="16"/>
      <w:szCs w:val="16"/>
    </w:rPr>
  </w:style>
  <w:style w:type="character" w:customStyle="1" w:styleId="TextodegloboCar">
    <w:name w:val="Texto de globo Car"/>
    <w:link w:val="Textodeglobo"/>
    <w:uiPriority w:val="99"/>
    <w:semiHidden/>
    <w:rsid w:val="002142B3"/>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52BD2-B252-4686-8805-AA59D444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839</Words>
  <Characters>4678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CARPETA N°: 2012-17-1- 0001935                     </vt:lpstr>
    </vt:vector>
  </TitlesOfParts>
  <Company>TCR</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2012-17-1- 0001935                     </dc:title>
  <dc:subject/>
  <dc:creator>Tribunal de Cuentas</dc:creator>
  <cp:keywords/>
  <cp:lastModifiedBy>tribunal1</cp:lastModifiedBy>
  <cp:revision>6</cp:revision>
  <cp:lastPrinted>2014-01-20T12:40:00Z</cp:lastPrinted>
  <dcterms:created xsi:type="dcterms:W3CDTF">2014-01-20T12:42:00Z</dcterms:created>
  <dcterms:modified xsi:type="dcterms:W3CDTF">2014-01-20T14:17:00Z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142157478</vt:i4>
  </property>
</Properties>
</file>