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21" w:rsidRDefault="00A430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43021" w:rsidRDefault="00A4302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021" w:rsidRDefault="00A430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43021" w:rsidRDefault="00A4302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021" w:rsidRDefault="00A430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A43021" w:rsidRDefault="00A430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3021" w:rsidRPr="00563757" w:rsidRDefault="00A43021" w:rsidP="00B30F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ES_tradnl"/>
        </w:rPr>
        <w:t>2013-17-1-00084</w:t>
      </w:r>
      <w:r w:rsidR="00EE6A17">
        <w:rPr>
          <w:rFonts w:ascii="Arial" w:hAnsi="Arial" w:cs="Arial"/>
          <w:b/>
          <w:lang w:val="es-ES_tradnl"/>
        </w:rPr>
        <w:t>6</w:t>
      </w:r>
      <w:r>
        <w:rPr>
          <w:rFonts w:ascii="Arial" w:hAnsi="Arial" w:cs="Arial"/>
          <w:b/>
          <w:lang w:val="es-ES_tradnl"/>
        </w:rPr>
        <w:t>0,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>
        <w:rPr>
          <w:rFonts w:ascii="Arial" w:hAnsi="Arial" w:cs="Arial"/>
          <w:b/>
          <w:lang w:val="es-MX"/>
        </w:rPr>
        <w:t xml:space="preserve"> 7173/13.</w:t>
      </w:r>
      <w:r w:rsidRPr="00563757">
        <w:rPr>
          <w:rFonts w:ascii="Arial" w:hAnsi="Arial" w:cs="Arial"/>
          <w:b/>
          <w:lang w:val="es-MX"/>
        </w:rPr>
        <w:t>)</w:t>
      </w:r>
    </w:p>
    <w:p w:rsidR="00A43021" w:rsidRDefault="00A43021">
      <w:pPr>
        <w:rPr>
          <w:rFonts w:ascii="Arial" w:hAnsi="Arial"/>
        </w:rPr>
      </w:pPr>
    </w:p>
    <w:p w:rsidR="00A43021" w:rsidRDefault="00A43021">
      <w:pPr>
        <w:spacing w:line="360" w:lineRule="auto"/>
        <w:jc w:val="both"/>
        <w:rPr>
          <w:rFonts w:ascii="Arial" w:hAnsi="Arial" w:cs="Arial"/>
          <w:b/>
        </w:rPr>
      </w:pPr>
    </w:p>
    <w:p w:rsidR="006B60C7" w:rsidRDefault="00FC4449" w:rsidP="00A4302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>: las actuaciones remitidas por el Ministerio de Vivienda</w:t>
      </w:r>
      <w:r w:rsidR="005A7E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Ordenamiento Territorial y Medio Ambiente (MVOTMA) relacionadas con el Convenio interinstitucional a suscribir </w:t>
      </w:r>
      <w:r w:rsidR="006B60C7">
        <w:rPr>
          <w:rFonts w:ascii="Arial" w:hAnsi="Arial" w:cs="Arial"/>
        </w:rPr>
        <w:t xml:space="preserve">con </w:t>
      </w:r>
      <w:r w:rsidR="0049612D">
        <w:rPr>
          <w:rFonts w:ascii="Arial" w:hAnsi="Arial" w:cs="Arial"/>
        </w:rPr>
        <w:t>la Intendencia de Montevideo</w:t>
      </w:r>
      <w:r w:rsidR="006B60C7">
        <w:rPr>
          <w:rFonts w:ascii="Arial" w:hAnsi="Arial" w:cs="Arial"/>
        </w:rPr>
        <w:t>;</w:t>
      </w:r>
    </w:p>
    <w:p w:rsidR="00FC4449" w:rsidRDefault="00FC4449" w:rsidP="00A4302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el </w:t>
      </w:r>
      <w:r w:rsidR="005A7EC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de  </w:t>
      </w:r>
      <w:r w:rsidR="005A7EC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onvenio remitido tiene por objeto la relocalización de las hasta cincuenta familias que componen la segunda etapa del asentamiento conocido como “Paso de las </w:t>
      </w:r>
      <w:proofErr w:type="spellStart"/>
      <w:r>
        <w:rPr>
          <w:rFonts w:ascii="Arial" w:hAnsi="Arial" w:cs="Arial"/>
        </w:rPr>
        <w:t>Duranas</w:t>
      </w:r>
      <w:proofErr w:type="spellEnd"/>
      <w:r>
        <w:rPr>
          <w:rFonts w:ascii="Arial" w:hAnsi="Arial" w:cs="Arial"/>
        </w:rPr>
        <w:t xml:space="preserve">”, ubicado en las márgenes del arroyo Miguelete, entre la calle Pedro </w:t>
      </w:r>
      <w:proofErr w:type="spellStart"/>
      <w:r>
        <w:rPr>
          <w:rFonts w:ascii="Arial" w:hAnsi="Arial" w:cs="Arial"/>
        </w:rPr>
        <w:t>Trápani</w:t>
      </w:r>
      <w:proofErr w:type="spellEnd"/>
      <w:r>
        <w:rPr>
          <w:rFonts w:ascii="Arial" w:hAnsi="Arial" w:cs="Arial"/>
        </w:rPr>
        <w:t xml:space="preserve"> y el Bulevar José Batlle y Ordóñez, en virtud de encontrarse en terrenos inundables; </w:t>
      </w:r>
    </w:p>
    <w:p w:rsidR="00FC4449" w:rsidRDefault="00FC4449" w:rsidP="00A4302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 xml:space="preserve">que de la </w:t>
      </w:r>
      <w:r w:rsidR="005A7EC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láusula tercera surge que el MVOTMA se obliga a  transferir a la Intendencia de Montevideo un monto de hasta </w:t>
      </w:r>
      <w:r w:rsidR="005A7EC9">
        <w:rPr>
          <w:rFonts w:ascii="Arial" w:hAnsi="Arial" w:cs="Arial"/>
        </w:rPr>
        <w:t xml:space="preserve">           </w:t>
      </w:r>
      <w:r w:rsidR="005A7EC9">
        <w:rPr>
          <w:rFonts w:ascii="Arial" w:hAnsi="Arial" w:cs="Arial"/>
        </w:rPr>
        <w:t>UR</w:t>
      </w:r>
      <w:r w:rsidR="005A7E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50.014 con destino a financiar hasta 50 soluciones habitacionales. Las partidas serán depositadas en la cuenta </w:t>
      </w:r>
      <w:proofErr w:type="spellStart"/>
      <w:r>
        <w:rPr>
          <w:rFonts w:ascii="Arial" w:hAnsi="Arial" w:cs="Arial"/>
        </w:rPr>
        <w:t>extrapresupuestal</w:t>
      </w:r>
      <w:proofErr w:type="spellEnd"/>
      <w:r>
        <w:rPr>
          <w:rFonts w:ascii="Arial" w:hAnsi="Arial" w:cs="Arial"/>
        </w:rPr>
        <w:t xml:space="preserve"> Nº 11200696 abierta para el </w:t>
      </w:r>
      <w:r w:rsidR="005A7EC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onvenio que incluyó la primera etapa del realojo del mismo asentamiento; </w:t>
      </w:r>
    </w:p>
    <w:p w:rsidR="00FC4449" w:rsidRDefault="008D71E8" w:rsidP="00A4302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C4449">
        <w:rPr>
          <w:rFonts w:ascii="Arial" w:hAnsi="Arial" w:cs="Arial"/>
          <w:b/>
        </w:rPr>
        <w:t xml:space="preserve">) </w:t>
      </w:r>
      <w:r w:rsidR="00FC4449">
        <w:rPr>
          <w:rFonts w:ascii="Arial" w:hAnsi="Arial" w:cs="Arial"/>
        </w:rPr>
        <w:t xml:space="preserve">que de la </w:t>
      </w:r>
      <w:r w:rsidR="005A7EC9">
        <w:rPr>
          <w:rFonts w:ascii="Arial" w:hAnsi="Arial" w:cs="Arial"/>
        </w:rPr>
        <w:t>C</w:t>
      </w:r>
      <w:r w:rsidR="00FC4449">
        <w:rPr>
          <w:rFonts w:ascii="Arial" w:hAnsi="Arial" w:cs="Arial"/>
        </w:rPr>
        <w:t xml:space="preserve">láusula sexta  surge que el plazo  de las obras es de tres años, a contar de la suscripción del </w:t>
      </w:r>
      <w:r w:rsidR="005A7EC9">
        <w:rPr>
          <w:rFonts w:ascii="Arial" w:hAnsi="Arial" w:cs="Arial"/>
        </w:rPr>
        <w:t xml:space="preserve">Convenio, </w:t>
      </w:r>
      <w:r w:rsidR="00FC4449">
        <w:rPr>
          <w:rFonts w:ascii="Arial" w:hAnsi="Arial" w:cs="Arial"/>
        </w:rPr>
        <w:t xml:space="preserve">pudiendo prorrogarse por  dos años más en caso de no existir declaración expresa en contra;  </w:t>
      </w:r>
    </w:p>
    <w:p w:rsidR="00FC4449" w:rsidRDefault="008D71E8" w:rsidP="006B60C7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C4449">
        <w:rPr>
          <w:rFonts w:ascii="Arial" w:hAnsi="Arial" w:cs="Arial"/>
          <w:b/>
          <w:bCs/>
        </w:rPr>
        <w:t xml:space="preserve">) </w:t>
      </w:r>
      <w:r w:rsidR="00FC4449">
        <w:rPr>
          <w:rFonts w:ascii="Arial" w:hAnsi="Arial" w:cs="Arial"/>
        </w:rPr>
        <w:t xml:space="preserve">que en la </w:t>
      </w:r>
      <w:r w:rsidR="005A7EC9">
        <w:rPr>
          <w:rFonts w:ascii="Arial" w:hAnsi="Arial" w:cs="Arial"/>
        </w:rPr>
        <w:t>C</w:t>
      </w:r>
      <w:r w:rsidR="00FC4449">
        <w:rPr>
          <w:rFonts w:ascii="Arial" w:hAnsi="Arial" w:cs="Arial"/>
        </w:rPr>
        <w:t xml:space="preserve">láusula novena se establece que la Intendencia de  </w:t>
      </w:r>
      <w:r w:rsidR="005A7EC9">
        <w:rPr>
          <w:rFonts w:ascii="Arial" w:hAnsi="Arial" w:cs="Arial"/>
        </w:rPr>
        <w:t>Montevideo</w:t>
      </w:r>
      <w:r w:rsidR="00FC4449">
        <w:rPr>
          <w:rFonts w:ascii="Arial" w:hAnsi="Arial" w:cs="Arial"/>
        </w:rPr>
        <w:t xml:space="preserve">  se obliga a remitir al MVOTMA, en forma trimestral certificación de Contador Público acompañada de un informe de Revisión Limitada avalando que los fondos fueron utilizados por el monto y para los fines </w:t>
      </w:r>
      <w:r w:rsidR="00FC4449">
        <w:rPr>
          <w:rFonts w:ascii="Arial" w:hAnsi="Arial" w:cs="Arial"/>
        </w:rPr>
        <w:lastRenderedPageBreak/>
        <w:t>para los cuales fueron entregados, y un informe técnico con el avance y evaluación de lo actuado;</w:t>
      </w:r>
    </w:p>
    <w:p w:rsidR="00FC4449" w:rsidRDefault="008D71E8" w:rsidP="006B60C7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C4449">
        <w:rPr>
          <w:rFonts w:ascii="Arial" w:hAnsi="Arial" w:cs="Arial"/>
          <w:b/>
        </w:rPr>
        <w:t>)</w:t>
      </w:r>
      <w:r w:rsidR="00FC4449">
        <w:rPr>
          <w:rFonts w:ascii="Arial" w:hAnsi="Arial" w:cs="Arial"/>
        </w:rPr>
        <w:t xml:space="preserve"> </w:t>
      </w:r>
      <w:proofErr w:type="gramStart"/>
      <w:r w:rsidR="00FC4449">
        <w:rPr>
          <w:rFonts w:ascii="Arial" w:hAnsi="Arial" w:cs="Arial"/>
        </w:rPr>
        <w:t>que</w:t>
      </w:r>
      <w:proofErr w:type="gramEnd"/>
      <w:r w:rsidR="00FC4449">
        <w:rPr>
          <w:rFonts w:ascii="Arial" w:hAnsi="Arial" w:cs="Arial"/>
        </w:rPr>
        <w:t xml:space="preserve"> se adjunta Proyecto de Resolución del Ministro de Vivienda</w:t>
      </w:r>
      <w:r w:rsidR="00591278">
        <w:rPr>
          <w:rFonts w:ascii="Arial" w:hAnsi="Arial" w:cs="Arial"/>
        </w:rPr>
        <w:t>,</w:t>
      </w:r>
      <w:r w:rsidR="00FC4449">
        <w:rPr>
          <w:rFonts w:ascii="Arial" w:hAnsi="Arial" w:cs="Arial"/>
        </w:rPr>
        <w:t xml:space="preserve"> Ordenamient</w:t>
      </w:r>
      <w:r w:rsidR="00591278">
        <w:rPr>
          <w:rFonts w:ascii="Arial" w:hAnsi="Arial" w:cs="Arial"/>
        </w:rPr>
        <w:t xml:space="preserve">o Territorial y Medio Ambiente </w:t>
      </w:r>
      <w:r w:rsidR="00FC4449">
        <w:rPr>
          <w:rFonts w:ascii="Arial" w:hAnsi="Arial" w:cs="Arial"/>
        </w:rPr>
        <w:t xml:space="preserve">por la cual se proyecta: </w:t>
      </w:r>
      <w:r w:rsidR="00591278">
        <w:rPr>
          <w:rFonts w:ascii="Arial" w:hAnsi="Arial" w:cs="Arial"/>
        </w:rPr>
        <w:t xml:space="preserve"> </w:t>
      </w:r>
      <w:r w:rsidR="00FC4449" w:rsidRPr="00591278">
        <w:rPr>
          <w:rFonts w:ascii="Arial" w:hAnsi="Arial" w:cs="Arial"/>
          <w:b/>
        </w:rPr>
        <w:t>a</w:t>
      </w:r>
      <w:r w:rsidR="00FC4449">
        <w:rPr>
          <w:rFonts w:ascii="Arial" w:hAnsi="Arial" w:cs="Arial"/>
        </w:rPr>
        <w:t xml:space="preserve">) autorizar la suscripción del  Convenio </w:t>
      </w:r>
      <w:r w:rsidR="00591278">
        <w:rPr>
          <w:rFonts w:ascii="Arial" w:hAnsi="Arial" w:cs="Arial"/>
        </w:rPr>
        <w:t>por la IMM</w:t>
      </w:r>
      <w:r w:rsidR="00FC4449">
        <w:rPr>
          <w:rFonts w:ascii="Arial" w:hAnsi="Arial" w:cs="Arial"/>
        </w:rPr>
        <w:t xml:space="preserve"> y el MVOTMA con el objeto descrito, y  </w:t>
      </w:r>
      <w:r w:rsidR="00FC4449" w:rsidRPr="00591278">
        <w:rPr>
          <w:rFonts w:ascii="Arial" w:hAnsi="Arial" w:cs="Arial"/>
          <w:b/>
        </w:rPr>
        <w:t>b</w:t>
      </w:r>
      <w:r w:rsidR="00FC4449">
        <w:rPr>
          <w:rFonts w:ascii="Arial" w:hAnsi="Arial" w:cs="Arial"/>
        </w:rPr>
        <w:t xml:space="preserve">) disponer la erogación emergente que asciende a </w:t>
      </w:r>
      <w:r w:rsidR="00591278">
        <w:rPr>
          <w:rFonts w:ascii="Arial" w:hAnsi="Arial" w:cs="Arial"/>
        </w:rPr>
        <w:t>UR</w:t>
      </w:r>
      <w:r w:rsidR="00591278">
        <w:rPr>
          <w:rFonts w:ascii="Arial" w:hAnsi="Arial" w:cs="Arial"/>
        </w:rPr>
        <w:t xml:space="preserve"> </w:t>
      </w:r>
      <w:r w:rsidR="00FC4449">
        <w:rPr>
          <w:rFonts w:ascii="Arial" w:hAnsi="Arial" w:cs="Arial"/>
        </w:rPr>
        <w:t>50</w:t>
      </w:r>
      <w:r w:rsidR="00E56188">
        <w:rPr>
          <w:rFonts w:ascii="Arial" w:hAnsi="Arial" w:cs="Arial"/>
        </w:rPr>
        <w:t>.</w:t>
      </w:r>
      <w:bookmarkStart w:id="0" w:name="_GoBack"/>
      <w:bookmarkEnd w:id="0"/>
      <w:r w:rsidR="00FC4449">
        <w:rPr>
          <w:rFonts w:ascii="Arial" w:hAnsi="Arial" w:cs="Arial"/>
        </w:rPr>
        <w:t>014, que  será financiada con cargo al Proyecto  720 “Realojos” Fondo Nacional de Vivienda y Urbanización;</w:t>
      </w:r>
    </w:p>
    <w:p w:rsidR="00FC4449" w:rsidRDefault="008D71E8" w:rsidP="006B60C7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C4449">
        <w:rPr>
          <w:rFonts w:ascii="Arial" w:hAnsi="Arial" w:cs="Arial"/>
          <w:b/>
          <w:bCs/>
        </w:rPr>
        <w:t>)</w:t>
      </w:r>
      <w:r w:rsidR="00FC4449">
        <w:rPr>
          <w:rFonts w:ascii="Arial" w:hAnsi="Arial" w:cs="Arial"/>
        </w:rPr>
        <w:t xml:space="preserve"> que la Administración de Recursos Fina</w:t>
      </w:r>
      <w:r>
        <w:rPr>
          <w:rFonts w:ascii="Arial" w:hAnsi="Arial" w:cs="Arial"/>
        </w:rPr>
        <w:t>ncieros  del MVOTMA con fecha 9.12</w:t>
      </w:r>
      <w:r w:rsidR="00FC4449">
        <w:rPr>
          <w:rFonts w:ascii="Arial" w:hAnsi="Arial" w:cs="Arial"/>
        </w:rPr>
        <w:t>.2013 detalla los desembolsos estimados por Ejercicio, en los si</w:t>
      </w:r>
      <w:r>
        <w:rPr>
          <w:rFonts w:ascii="Arial" w:hAnsi="Arial" w:cs="Arial"/>
        </w:rPr>
        <w:t xml:space="preserve">guientes términos: la suma de </w:t>
      </w:r>
      <w:r w:rsidR="00C545AC">
        <w:rPr>
          <w:rFonts w:ascii="Arial" w:hAnsi="Arial" w:cs="Arial"/>
        </w:rPr>
        <w:t>UR</w:t>
      </w:r>
      <w:r w:rsidR="00C54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20.005 para el Ejercicio 2014 y un total de </w:t>
      </w:r>
      <w:r w:rsidR="00C545AC">
        <w:rPr>
          <w:rFonts w:ascii="Arial" w:hAnsi="Arial" w:cs="Arial"/>
        </w:rPr>
        <w:t>UR</w:t>
      </w:r>
      <w:r w:rsidR="00C54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30.009 para el Ejercicio 2015</w:t>
      </w:r>
      <w:r w:rsidR="00FC4449">
        <w:rPr>
          <w:rFonts w:ascii="Arial" w:hAnsi="Arial" w:cs="Arial"/>
        </w:rPr>
        <w:t>;</w:t>
      </w:r>
    </w:p>
    <w:p w:rsidR="00FC4449" w:rsidRPr="006B60C7" w:rsidRDefault="00FC4449" w:rsidP="006B60C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</w:t>
      </w:r>
      <w:r>
        <w:rPr>
          <w:rFonts w:ascii="Arial" w:hAnsi="Arial"/>
          <w:b/>
          <w:bCs/>
        </w:rPr>
        <w:t>1)</w:t>
      </w:r>
      <w:r>
        <w:rPr>
          <w:rFonts w:ascii="Arial" w:hAnsi="Arial"/>
        </w:rPr>
        <w:t xml:space="preserve"> que de a</w:t>
      </w:r>
      <w:r w:rsidR="006B60C7">
        <w:rPr>
          <w:rFonts w:ascii="Arial" w:hAnsi="Arial"/>
        </w:rPr>
        <w:t>cuerdo con lo dispuesto por el N</w:t>
      </w:r>
      <w:r>
        <w:rPr>
          <w:rFonts w:ascii="Arial" w:hAnsi="Arial"/>
        </w:rPr>
        <w:t>umeral 1</w:t>
      </w:r>
      <w:r w:rsidR="006B60C7">
        <w:rPr>
          <w:rFonts w:ascii="Arial" w:hAnsi="Arial"/>
        </w:rPr>
        <w:t>)</w:t>
      </w:r>
      <w:r>
        <w:rPr>
          <w:rFonts w:ascii="Arial" w:hAnsi="Arial"/>
        </w:rPr>
        <w:t xml:space="preserve"> del </w:t>
      </w:r>
      <w:r w:rsidR="006B60C7">
        <w:rPr>
          <w:rFonts w:ascii="Arial" w:hAnsi="Arial"/>
        </w:rPr>
        <w:t>N</w:t>
      </w:r>
      <w:r>
        <w:rPr>
          <w:rFonts w:ascii="Arial" w:hAnsi="Arial"/>
        </w:rPr>
        <w:t>umeral 3</w:t>
      </w:r>
      <w:r w:rsidR="006B60C7">
        <w:rPr>
          <w:rFonts w:ascii="Arial" w:hAnsi="Arial"/>
        </w:rPr>
        <w:t>)</w:t>
      </w:r>
      <w:r>
        <w:rPr>
          <w:rFonts w:ascii="Arial" w:hAnsi="Arial"/>
        </w:rPr>
        <w:t xml:space="preserve"> de la </w:t>
      </w:r>
      <w:r w:rsidR="006B60C7">
        <w:rPr>
          <w:rFonts w:ascii="Arial" w:hAnsi="Arial"/>
        </w:rPr>
        <w:t>L</w:t>
      </w:r>
      <w:r>
        <w:rPr>
          <w:rFonts w:ascii="Arial" w:hAnsi="Arial"/>
        </w:rPr>
        <w:t>ey Nº 16.112 al MVOTMA le corresponde “lo concerniente a la formulación, ejecución, supervisión y evaluación de los planes de vivienda y la instrumentación de la política nacional en la materia”;</w:t>
      </w:r>
    </w:p>
    <w:p w:rsidR="00FC4449" w:rsidRDefault="00FC4449" w:rsidP="006B60C7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2)</w:t>
      </w:r>
      <w:r>
        <w:rPr>
          <w:rFonts w:ascii="Arial" w:hAnsi="Arial"/>
        </w:rPr>
        <w:t xml:space="preserve"> que asimismo el </w:t>
      </w:r>
      <w:r w:rsidR="00C545AC">
        <w:rPr>
          <w:rFonts w:ascii="Arial" w:hAnsi="Arial"/>
        </w:rPr>
        <w:t>N</w:t>
      </w:r>
      <w:r>
        <w:rPr>
          <w:rFonts w:ascii="Arial" w:hAnsi="Arial"/>
        </w:rPr>
        <w:t>umeral 8º de dich</w:t>
      </w:r>
      <w:r w:rsidR="00C545AC">
        <w:rPr>
          <w:rFonts w:ascii="Arial" w:hAnsi="Arial"/>
        </w:rPr>
        <w:t>a</w:t>
      </w:r>
      <w:r>
        <w:rPr>
          <w:rFonts w:ascii="Arial" w:hAnsi="Arial"/>
        </w:rPr>
        <w:t xml:space="preserve"> norma  dispone que al MVOTMA le compete “la coordinación con los demás </w:t>
      </w:r>
      <w:r w:rsidR="00C545AC">
        <w:rPr>
          <w:rFonts w:ascii="Arial" w:hAnsi="Arial"/>
        </w:rPr>
        <w:t>O</w:t>
      </w:r>
      <w:r>
        <w:rPr>
          <w:rFonts w:ascii="Arial" w:hAnsi="Arial"/>
        </w:rPr>
        <w:t xml:space="preserve">rganismos públicos, nacionales o departamentales, en la ejecución de sus cometidos”  y en el </w:t>
      </w:r>
      <w:r w:rsidR="00C545AC">
        <w:rPr>
          <w:rFonts w:ascii="Arial" w:hAnsi="Arial"/>
        </w:rPr>
        <w:t>Numeral 9º)</w:t>
      </w:r>
      <w:r>
        <w:rPr>
          <w:rFonts w:ascii="Arial" w:hAnsi="Arial"/>
        </w:rPr>
        <w:t xml:space="preserve">  “la celebración  de convenios con personas públicas y privadas, nacionales o extranjeras, para e</w:t>
      </w:r>
      <w:r w:rsidR="00C545AC">
        <w:rPr>
          <w:rFonts w:ascii="Arial" w:hAnsi="Arial"/>
        </w:rPr>
        <w:t xml:space="preserve">l cumplimiento de sus </w:t>
      </w:r>
      <w:proofErr w:type="gramStart"/>
      <w:r w:rsidR="00C545AC">
        <w:rPr>
          <w:rFonts w:ascii="Arial" w:hAnsi="Arial"/>
        </w:rPr>
        <w:t>cometidos</w:t>
      </w:r>
      <w:r>
        <w:rPr>
          <w:rFonts w:ascii="Arial" w:hAnsi="Arial"/>
        </w:rPr>
        <w:t xml:space="preserve"> ...</w:t>
      </w:r>
      <w:proofErr w:type="gramEnd"/>
      <w:r>
        <w:rPr>
          <w:rFonts w:ascii="Arial" w:hAnsi="Arial"/>
        </w:rPr>
        <w:t>”;</w:t>
      </w:r>
    </w:p>
    <w:p w:rsidR="00FC4449" w:rsidRDefault="00FC4449" w:rsidP="006B60C7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3) </w:t>
      </w:r>
      <w:r>
        <w:rPr>
          <w:rFonts w:ascii="Arial" w:hAnsi="Arial"/>
        </w:rPr>
        <w:t xml:space="preserve">que el </w:t>
      </w:r>
      <w:r w:rsidR="00E65B70">
        <w:rPr>
          <w:rFonts w:ascii="Arial" w:hAnsi="Arial"/>
        </w:rPr>
        <w:t>A</w:t>
      </w:r>
      <w:r>
        <w:rPr>
          <w:rFonts w:ascii="Arial" w:hAnsi="Arial"/>
        </w:rPr>
        <w:t xml:space="preserve">rtículo 119 de la Ley Nº 13.728, en la redacción dada por el </w:t>
      </w:r>
      <w:r w:rsidR="00E65B70">
        <w:rPr>
          <w:rFonts w:ascii="Arial" w:hAnsi="Arial"/>
        </w:rPr>
        <w:t>A</w:t>
      </w:r>
      <w:r>
        <w:rPr>
          <w:rFonts w:ascii="Arial" w:hAnsi="Arial"/>
        </w:rPr>
        <w:t xml:space="preserve">rtículo 1 de la Ley Nº 16.237 dispone que el MVOTMA “dispondrá la ejecución de los planes a través de convenios con otros </w:t>
      </w:r>
      <w:r w:rsidR="00B1511E">
        <w:rPr>
          <w:rFonts w:ascii="Arial" w:hAnsi="Arial"/>
        </w:rPr>
        <w:t>O</w:t>
      </w:r>
      <w:r>
        <w:rPr>
          <w:rFonts w:ascii="Arial" w:hAnsi="Arial"/>
        </w:rPr>
        <w:t xml:space="preserve">rganismos de derecho público habilitados legalmente para construir viviendas o con entidades privadas, por los cuales éstos se obligan a tomar a su cargo la promoción o construcción en forma no lucrativa de conjuntos de viviendas comprendidos dentro de aquellos planes. Estos convenios dispondrán los </w:t>
      </w:r>
      <w:r>
        <w:rPr>
          <w:rFonts w:ascii="Arial" w:hAnsi="Arial"/>
        </w:rPr>
        <w:lastRenderedPageBreak/>
        <w:t xml:space="preserve">aportes de ambos </w:t>
      </w:r>
      <w:r w:rsidR="00B1511E">
        <w:rPr>
          <w:rFonts w:ascii="Arial" w:hAnsi="Arial"/>
        </w:rPr>
        <w:t>O</w:t>
      </w:r>
      <w:r>
        <w:rPr>
          <w:rFonts w:ascii="Arial" w:hAnsi="Arial"/>
        </w:rPr>
        <w:t>rganismos, que podrán ser de tierras, urbanizaciones, servicios, dinero, trabajo o especies”;</w:t>
      </w:r>
    </w:p>
    <w:p w:rsidR="00FC4449" w:rsidRDefault="00FC4449" w:rsidP="00E65B7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4)</w:t>
      </w:r>
      <w:r>
        <w:rPr>
          <w:rFonts w:ascii="Arial" w:hAnsi="Arial"/>
        </w:rPr>
        <w:t xml:space="preserve"> que asimismo en el </w:t>
      </w:r>
      <w:r w:rsidR="00E65B70">
        <w:rPr>
          <w:rFonts w:ascii="Arial" w:hAnsi="Arial"/>
        </w:rPr>
        <w:t>A</w:t>
      </w:r>
      <w:r>
        <w:rPr>
          <w:rFonts w:ascii="Arial" w:hAnsi="Arial"/>
        </w:rPr>
        <w:t xml:space="preserve">rtículo 121 se habilita expresamente a que “las Intendencias podrán celebrar los convenios a que refiere el </w:t>
      </w:r>
      <w:r w:rsidR="008D0CCF">
        <w:rPr>
          <w:rFonts w:ascii="Arial" w:hAnsi="Arial"/>
        </w:rPr>
        <w:t>A</w:t>
      </w:r>
      <w:r>
        <w:rPr>
          <w:rFonts w:ascii="Arial" w:hAnsi="Arial"/>
        </w:rPr>
        <w:t>rtículo 119”</w:t>
      </w:r>
      <w:r w:rsidR="008D0CCF">
        <w:rPr>
          <w:rFonts w:ascii="Arial" w:hAnsi="Arial"/>
        </w:rPr>
        <w:t>,</w:t>
      </w:r>
      <w:r>
        <w:rPr>
          <w:rFonts w:ascii="Arial" w:hAnsi="Arial"/>
        </w:rPr>
        <w:t xml:space="preserve"> por lo cual podrán ejecutar los planes a través de los convenios de referencia; </w:t>
      </w:r>
    </w:p>
    <w:p w:rsidR="00FC4449" w:rsidRDefault="00FC4449" w:rsidP="00E65B7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</w:rPr>
        <w:t xml:space="preserve">que el </w:t>
      </w:r>
      <w:r w:rsidR="00E65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35 de la </w:t>
      </w:r>
      <w:r w:rsidR="00E65B7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ey Nº 9.515 establece que le compete al Intendente: “velar por la conservación de los derechos individuales de los habitantes del </w:t>
      </w:r>
      <w:r w:rsidR="00E65B70">
        <w:rPr>
          <w:rFonts w:ascii="Arial" w:hAnsi="Arial" w:cs="Arial"/>
        </w:rPr>
        <w:t>D</w:t>
      </w:r>
      <w:r>
        <w:rPr>
          <w:rFonts w:ascii="Arial" w:hAnsi="Arial" w:cs="Arial"/>
        </w:rPr>
        <w:t>epartamento” (</w:t>
      </w:r>
      <w:r w:rsidR="00E65B70">
        <w:rPr>
          <w:rFonts w:ascii="Arial" w:hAnsi="Arial" w:cs="Arial"/>
        </w:rPr>
        <w:t>N</w:t>
      </w:r>
      <w:r>
        <w:rPr>
          <w:rFonts w:ascii="Arial" w:hAnsi="Arial" w:cs="Arial"/>
        </w:rPr>
        <w:t>um</w:t>
      </w:r>
      <w:r w:rsidR="00E65B70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15) “</w:t>
      </w:r>
      <w:r w:rsidR="008D0CCF">
        <w:rPr>
          <w:rFonts w:ascii="Arial" w:hAnsi="Arial" w:cs="Arial"/>
        </w:rPr>
        <w:t>a</w:t>
      </w:r>
      <w:r w:rsidRPr="008D0CCF">
        <w:rPr>
          <w:rFonts w:ascii="Arial" w:hAnsi="Arial" w:cs="Arial"/>
        </w:rPr>
        <w:t>dministrar las propiedades del Departamento y las que fuesen cedidas para</w:t>
      </w:r>
      <w:r>
        <w:rPr>
          <w:rFonts w:ascii="Arial" w:hAnsi="Arial" w:cs="Arial"/>
        </w:rPr>
        <w:t xml:space="preserve"> su servicio, proveyendo a su conservación y mejoras, así como a las de todos los establecimientos y obras departamentales. Asimismo, el </w:t>
      </w:r>
      <w:r w:rsidR="008D0C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36 de la mencionada </w:t>
      </w:r>
      <w:r w:rsidR="008D0CCF">
        <w:rPr>
          <w:rFonts w:ascii="Arial" w:hAnsi="Arial" w:cs="Arial"/>
        </w:rPr>
        <w:t>L</w:t>
      </w:r>
      <w:r>
        <w:rPr>
          <w:rFonts w:ascii="Arial" w:hAnsi="Arial" w:cs="Arial"/>
        </w:rPr>
        <w:t>ey dispone qu</w:t>
      </w:r>
      <w:r w:rsidR="008D0CCF">
        <w:rPr>
          <w:rFonts w:ascii="Arial" w:hAnsi="Arial" w:cs="Arial"/>
        </w:rPr>
        <w:t>e compete también al Intendente</w:t>
      </w:r>
      <w:r>
        <w:rPr>
          <w:rFonts w:ascii="Arial" w:hAnsi="Arial" w:cs="Arial"/>
        </w:rPr>
        <w:t xml:space="preserve"> “acordar, con las otras autoridades, las medidas que estime conveniente, en los servicios que l</w:t>
      </w:r>
      <w:r w:rsidR="008D0CC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sean comunes o que convenga conservar o establecer en esta forma, determinando a la vez las cuotas que para dichos servicios correspondan a cada una”; </w:t>
      </w:r>
    </w:p>
    <w:p w:rsidR="00FC4449" w:rsidRDefault="00FC4449" w:rsidP="00E65B7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el </w:t>
      </w:r>
      <w:r w:rsidR="00E65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115 de la Ley 13.728, con las modificaciones introducidas por la </w:t>
      </w:r>
      <w:r w:rsidR="00E65B70">
        <w:rPr>
          <w:rFonts w:ascii="Arial" w:hAnsi="Arial" w:cs="Arial"/>
        </w:rPr>
        <w:t>L</w:t>
      </w:r>
      <w:r>
        <w:rPr>
          <w:rFonts w:ascii="Arial" w:hAnsi="Arial" w:cs="Arial"/>
        </w:rPr>
        <w:t>ey 16.237,  establece que las Intendencias son responsables de la implementación de programas de asistencia social, de asistencia técnica y suministro de materiales, que aseguren la adecuada evolución posterior de todas las unidades construidas;</w:t>
      </w:r>
    </w:p>
    <w:p w:rsidR="00FC4449" w:rsidRDefault="00FC4449" w:rsidP="00E65B7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7) </w:t>
      </w:r>
      <w:r>
        <w:rPr>
          <w:rFonts w:ascii="Arial" w:hAnsi="Arial" w:cs="Arial"/>
          <w:lang w:val="es-MX"/>
        </w:rPr>
        <w:t xml:space="preserve">que la Ordenanza Nº 77 de este Tribunal reglamenta la obligación de rendir cuenta documentada o comprobable de su versión, utilización o gestión de los fondos públicos o bienes del Estado percibidos en carácter de recaudador, depositario, pagador, administrador o custodia, con o sin autorización legal prevista en los </w:t>
      </w:r>
      <w:r w:rsidR="00E65B70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rtículos 132 y siguientes del TOCAF. Asimismo, el </w:t>
      </w:r>
      <w:r w:rsidR="00E65B70">
        <w:rPr>
          <w:rFonts w:ascii="Arial" w:hAnsi="Arial" w:cs="Arial"/>
          <w:lang w:val="es-MX"/>
        </w:rPr>
        <w:t>A</w:t>
      </w:r>
      <w:proofErr w:type="spellStart"/>
      <w:r>
        <w:rPr>
          <w:rFonts w:ascii="Arial" w:hAnsi="Arial" w:cs="Arial"/>
        </w:rPr>
        <w:t>rtículo</w:t>
      </w:r>
      <w:proofErr w:type="spellEnd"/>
      <w:r>
        <w:rPr>
          <w:rFonts w:ascii="Arial" w:hAnsi="Arial" w:cs="Arial"/>
        </w:rPr>
        <w:t xml:space="preserve"> 416 de la Ley 17.930 establece que: “No podrán adelantarse fondos a rendir cuenta a personas físicas o jurídicas que no </w:t>
      </w:r>
      <w:r>
        <w:rPr>
          <w:rFonts w:ascii="Arial" w:hAnsi="Arial" w:cs="Arial"/>
        </w:rPr>
        <w:lastRenderedPageBreak/>
        <w:t xml:space="preserve">hayan presentado la rendición de cuentas de partidas recibidas con anterioridad”;                    </w:t>
      </w:r>
    </w:p>
    <w:p w:rsidR="00FC4449" w:rsidRDefault="00FC4449" w:rsidP="000624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 xml:space="preserve">que el procedimiento directo seguido para la selección del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-contratante, atendiendo a la naturaleza jurídica de las partes del convenio, encuadra en la causal de excepción establecida en el </w:t>
      </w:r>
      <w:r w:rsidR="00062467">
        <w:rPr>
          <w:rFonts w:ascii="Arial" w:hAnsi="Arial" w:cs="Arial"/>
        </w:rPr>
        <w:t>N</w:t>
      </w:r>
      <w:r>
        <w:rPr>
          <w:rFonts w:ascii="Arial" w:hAnsi="Arial" w:cs="Arial"/>
        </w:rPr>
        <w:t>umeral 1</w:t>
      </w:r>
      <w:r w:rsidR="00062467">
        <w:rPr>
          <w:rFonts w:ascii="Arial" w:hAnsi="Arial" w:cs="Arial"/>
        </w:rPr>
        <w:t>)</w:t>
      </w:r>
      <w:r w:rsidR="00F364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  <w:r w:rsidR="0006246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C) del Artículo 33, del TOCAF; </w:t>
      </w:r>
    </w:p>
    <w:p w:rsidR="00FC4449" w:rsidRDefault="00FC4449" w:rsidP="0006246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 xml:space="preserve">a lo precedentemente expuesto; </w:t>
      </w:r>
    </w:p>
    <w:p w:rsidR="00FC4449" w:rsidRDefault="00FC4449">
      <w:pPr>
        <w:pStyle w:val="Ttulo2"/>
      </w:pPr>
      <w:r>
        <w:t>EL TRIBUNAL ACUERDA</w:t>
      </w:r>
    </w:p>
    <w:p w:rsidR="00FC4449" w:rsidRDefault="00FC4449" w:rsidP="00062467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 w:rsidR="00062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formular observaciones al </w:t>
      </w:r>
      <w:r w:rsidR="00F3646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onvenio suscrito </w:t>
      </w:r>
      <w:r w:rsidR="0006246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el</w:t>
      </w:r>
      <w:r>
        <w:rPr>
          <w:rFonts w:ascii="Arial" w:hAnsi="Arial" w:cs="Arial"/>
          <w:lang w:val="es-MX"/>
        </w:rPr>
        <w:t xml:space="preserve"> Ministerio de Vivienda, Ordenamiento Territorial y Medio Ambiente y  la Intend</w:t>
      </w:r>
      <w:r w:rsidR="008D71E8">
        <w:rPr>
          <w:rFonts w:ascii="Arial" w:hAnsi="Arial" w:cs="Arial"/>
          <w:lang w:val="es-MX"/>
        </w:rPr>
        <w:t>encia de Montevideo</w:t>
      </w:r>
      <w:r>
        <w:rPr>
          <w:rFonts w:ascii="Arial" w:hAnsi="Arial" w:cs="Arial"/>
          <w:lang w:val="es-MX"/>
        </w:rPr>
        <w:t>;</w:t>
      </w:r>
    </w:p>
    <w:p w:rsidR="00FC4449" w:rsidRDefault="00FC4449" w:rsidP="00062467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 w:rsidR="00062467">
        <w:rPr>
          <w:rFonts w:ascii="Arial" w:hAnsi="Arial" w:cs="Arial"/>
          <w:b/>
          <w:bCs/>
          <w:lang w:val="es-MX"/>
        </w:rPr>
        <w:t xml:space="preserve">  </w:t>
      </w:r>
      <w:r w:rsidR="007F3528">
        <w:rPr>
          <w:rFonts w:ascii="Arial" w:hAnsi="Arial" w:cs="Arial"/>
          <w:lang w:val="es-MX"/>
        </w:rPr>
        <w:t xml:space="preserve">Una vez dictada la Resolución  por el </w:t>
      </w:r>
      <w:r w:rsidR="00F36468">
        <w:rPr>
          <w:rFonts w:ascii="Arial" w:hAnsi="Arial" w:cs="Arial"/>
          <w:lang w:val="es-MX"/>
        </w:rPr>
        <w:t>O</w:t>
      </w:r>
      <w:r w:rsidR="007F3528">
        <w:rPr>
          <w:rFonts w:ascii="Arial" w:hAnsi="Arial" w:cs="Arial"/>
          <w:lang w:val="es-MX"/>
        </w:rPr>
        <w:t>rdenador competente que autorice</w:t>
      </w:r>
      <w:r>
        <w:rPr>
          <w:rFonts w:ascii="Arial" w:hAnsi="Arial" w:cs="Arial"/>
          <w:lang w:val="es-MX"/>
        </w:rPr>
        <w:t xml:space="preserve"> la susc</w:t>
      </w:r>
      <w:r w:rsidR="007F3528">
        <w:rPr>
          <w:rFonts w:ascii="Arial" w:hAnsi="Arial" w:cs="Arial"/>
          <w:lang w:val="es-MX"/>
        </w:rPr>
        <w:t xml:space="preserve">ripción del presente Convenio, </w:t>
      </w:r>
      <w:proofErr w:type="spellStart"/>
      <w:r>
        <w:rPr>
          <w:rFonts w:ascii="Arial" w:hAnsi="Arial" w:cs="Arial"/>
          <w:lang w:val="es-MX"/>
        </w:rPr>
        <w:t>cométese</w:t>
      </w:r>
      <w:proofErr w:type="spellEnd"/>
      <w:r>
        <w:rPr>
          <w:rFonts w:ascii="Arial" w:hAnsi="Arial" w:cs="Arial"/>
          <w:lang w:val="es-MX"/>
        </w:rPr>
        <w:t xml:space="preserve"> a</w:t>
      </w:r>
      <w:r w:rsidR="004F6D1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4F6D1F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Contador</w:t>
      </w:r>
      <w:r w:rsidR="004F6D1F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Auditor</w:t>
      </w:r>
      <w:r w:rsidR="004F6D1F">
        <w:rPr>
          <w:rFonts w:ascii="Arial" w:hAnsi="Arial" w:cs="Arial"/>
          <w:lang w:val="es-MX"/>
        </w:rPr>
        <w:t>a destacada</w:t>
      </w:r>
      <w:r>
        <w:rPr>
          <w:rFonts w:ascii="Arial" w:hAnsi="Arial" w:cs="Arial"/>
          <w:lang w:val="es-MX"/>
        </w:rPr>
        <w:t xml:space="preserve"> ante el MVOTMA la intervención del gasto de hasta </w:t>
      </w:r>
      <w:r w:rsidR="00F36468">
        <w:rPr>
          <w:rFonts w:ascii="Arial" w:hAnsi="Arial" w:cs="Arial"/>
        </w:rPr>
        <w:t>UR</w:t>
      </w:r>
      <w:r w:rsidR="00F36468">
        <w:rPr>
          <w:rFonts w:ascii="Arial" w:hAnsi="Arial" w:cs="Arial"/>
        </w:rPr>
        <w:t xml:space="preserve"> </w:t>
      </w:r>
      <w:proofErr w:type="gramStart"/>
      <w:r w:rsidR="008D71E8">
        <w:rPr>
          <w:rFonts w:ascii="Arial" w:hAnsi="Arial" w:cs="Arial"/>
        </w:rPr>
        <w:t xml:space="preserve">50.014 </w:t>
      </w:r>
      <w:r>
        <w:rPr>
          <w:rFonts w:ascii="Arial" w:hAnsi="Arial" w:cs="Arial"/>
          <w:lang w:val="es-MX"/>
        </w:rPr>
        <w:t>,</w:t>
      </w:r>
      <w:proofErr w:type="gramEnd"/>
      <w:r>
        <w:rPr>
          <w:rFonts w:ascii="Arial" w:hAnsi="Arial" w:cs="Arial"/>
          <w:lang w:val="es-MX"/>
        </w:rPr>
        <w:t xml:space="preserve"> previo control de su imputación con cargo a </w:t>
      </w:r>
      <w:r w:rsidR="00F36468">
        <w:rPr>
          <w:rFonts w:ascii="Arial" w:hAnsi="Arial" w:cs="Arial"/>
          <w:lang w:val="es-MX"/>
        </w:rPr>
        <w:t>G</w:t>
      </w:r>
      <w:r>
        <w:rPr>
          <w:rFonts w:ascii="Arial" w:hAnsi="Arial" w:cs="Arial"/>
          <w:lang w:val="es-MX"/>
        </w:rPr>
        <w:t xml:space="preserve">rupo adecuado con disponibilidad suficiente, y </w:t>
      </w:r>
      <w:r>
        <w:rPr>
          <w:rFonts w:ascii="Arial" w:hAnsi="Arial" w:cs="Arial"/>
        </w:rPr>
        <w:t xml:space="preserve">del cumplimiento de la rendición de cuentas de las transferencias efectuadas en el marco del </w:t>
      </w:r>
      <w:r w:rsidR="00F3646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onvenio, conforme lo dispone el </w:t>
      </w:r>
      <w:r w:rsidR="004F6D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132 del TOCAF y el </w:t>
      </w:r>
      <w:r w:rsidR="004F6D1F">
        <w:rPr>
          <w:rFonts w:ascii="Arial" w:hAnsi="Arial" w:cs="Arial"/>
        </w:rPr>
        <w:t>Artículo 416 de la L</w:t>
      </w:r>
      <w:r>
        <w:rPr>
          <w:rFonts w:ascii="Arial" w:hAnsi="Arial" w:cs="Arial"/>
        </w:rPr>
        <w:t xml:space="preserve">ey 17.930; </w:t>
      </w:r>
    </w:p>
    <w:p w:rsidR="00FC4449" w:rsidRDefault="00FC4449" w:rsidP="00062467">
      <w:pPr>
        <w:spacing w:line="360" w:lineRule="auto"/>
        <w:ind w:left="426" w:hanging="426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</w:t>
      </w:r>
      <w:r w:rsidR="0006246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UY"/>
        </w:rPr>
        <w:t xml:space="preserve">Comunicar al Contador Auditor destacado ante el MVOTMA y al Contador Delegado </w:t>
      </w:r>
      <w:r w:rsidR="004F6D1F">
        <w:rPr>
          <w:rFonts w:ascii="Arial" w:hAnsi="Arial" w:cs="Arial"/>
          <w:lang w:val="es-UY"/>
        </w:rPr>
        <w:t>en</w:t>
      </w:r>
      <w:r w:rsidR="008D71E8">
        <w:rPr>
          <w:rFonts w:ascii="Arial" w:hAnsi="Arial" w:cs="Arial"/>
          <w:lang w:val="es-UY"/>
        </w:rPr>
        <w:t xml:space="preserve"> la Intendencia  de Montevideo</w:t>
      </w:r>
      <w:r>
        <w:rPr>
          <w:rFonts w:ascii="Arial" w:hAnsi="Arial" w:cs="Arial"/>
          <w:lang w:val="es-UY"/>
        </w:rPr>
        <w:t xml:space="preserve">; y </w:t>
      </w:r>
    </w:p>
    <w:p w:rsidR="00FC4449" w:rsidRDefault="00FC44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UY"/>
        </w:rPr>
        <w:t xml:space="preserve">4) </w:t>
      </w:r>
      <w:r w:rsidR="00062467">
        <w:rPr>
          <w:rFonts w:ascii="Arial" w:hAnsi="Arial" w:cs="Arial"/>
          <w:b/>
          <w:bCs/>
          <w:lang w:val="es-UY"/>
        </w:rPr>
        <w:t xml:space="preserve">  </w:t>
      </w:r>
      <w:r>
        <w:rPr>
          <w:rFonts w:ascii="Arial" w:hAnsi="Arial" w:cs="Arial"/>
        </w:rPr>
        <w:t>Devolver las actuaciones</w:t>
      </w:r>
      <w:r w:rsidR="004F6D1F">
        <w:rPr>
          <w:rFonts w:ascii="Arial" w:hAnsi="Arial" w:cs="Arial"/>
        </w:rPr>
        <w:t>.</w:t>
      </w:r>
      <w:r w:rsidR="00B30F13">
        <w:rPr>
          <w:rFonts w:ascii="Arial" w:hAnsi="Arial" w:cs="Arial"/>
        </w:rPr>
        <w:t>”</w:t>
      </w:r>
    </w:p>
    <w:p w:rsidR="00B30F13" w:rsidRDefault="00B30F13">
      <w:pPr>
        <w:spacing w:line="360" w:lineRule="auto"/>
        <w:jc w:val="both"/>
        <w:rPr>
          <w:rFonts w:ascii="Arial" w:hAnsi="Arial" w:cs="Arial"/>
        </w:rPr>
      </w:pPr>
    </w:p>
    <w:p w:rsidR="004F6D1F" w:rsidRDefault="004F6D1F">
      <w:pPr>
        <w:spacing w:line="360" w:lineRule="auto"/>
        <w:jc w:val="both"/>
        <w:rPr>
          <w:rFonts w:ascii="Arial" w:hAnsi="Arial" w:cs="Arial"/>
        </w:rPr>
      </w:pPr>
    </w:p>
    <w:p w:rsidR="004F6D1F" w:rsidRDefault="004F6D1F">
      <w:pPr>
        <w:spacing w:line="360" w:lineRule="auto"/>
        <w:jc w:val="both"/>
        <w:rPr>
          <w:rFonts w:ascii="Arial" w:hAnsi="Arial" w:cs="Arial"/>
        </w:rPr>
      </w:pPr>
    </w:p>
    <w:p w:rsidR="004F6D1F" w:rsidRDefault="004F6D1F">
      <w:pPr>
        <w:spacing w:line="360" w:lineRule="auto"/>
        <w:jc w:val="both"/>
        <w:rPr>
          <w:rFonts w:ascii="Arial" w:hAnsi="Arial" w:cs="Arial"/>
        </w:rPr>
      </w:pPr>
    </w:p>
    <w:p w:rsidR="004F6D1F" w:rsidRDefault="004F6D1F">
      <w:pPr>
        <w:spacing w:line="360" w:lineRule="auto"/>
        <w:jc w:val="both"/>
        <w:rPr>
          <w:rFonts w:ascii="Arial" w:hAnsi="Arial" w:cs="Arial"/>
        </w:rPr>
      </w:pPr>
    </w:p>
    <w:p w:rsidR="004F6D1F" w:rsidRDefault="004F6D1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4F6D1F" w:rsidSect="00A4302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F3AD1"/>
    <w:multiLevelType w:val="hybridMultilevel"/>
    <w:tmpl w:val="88C0991A"/>
    <w:lvl w:ilvl="0" w:tplc="08784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AC"/>
    <w:rsid w:val="00062467"/>
    <w:rsid w:val="0049612D"/>
    <w:rsid w:val="004F6D1F"/>
    <w:rsid w:val="00591278"/>
    <w:rsid w:val="005A7EC9"/>
    <w:rsid w:val="006B60C7"/>
    <w:rsid w:val="007F3528"/>
    <w:rsid w:val="008D0CCF"/>
    <w:rsid w:val="008D71E8"/>
    <w:rsid w:val="009E6FAC"/>
    <w:rsid w:val="00A43021"/>
    <w:rsid w:val="00A51251"/>
    <w:rsid w:val="00B1511E"/>
    <w:rsid w:val="00B30F13"/>
    <w:rsid w:val="00C545AC"/>
    <w:rsid w:val="00E56188"/>
    <w:rsid w:val="00E65B70"/>
    <w:rsid w:val="00EE6A17"/>
    <w:rsid w:val="00F36468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A1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A1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20131710001531</vt:lpstr>
    </vt:vector>
  </TitlesOfParts>
  <Company>TCR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20131710001531</dc:title>
  <dc:subject/>
  <dc:creator>39684641</dc:creator>
  <cp:keywords/>
  <cp:lastModifiedBy>tribunal1</cp:lastModifiedBy>
  <cp:revision>10</cp:revision>
  <cp:lastPrinted>2014-01-09T12:34:00Z</cp:lastPrinted>
  <dcterms:created xsi:type="dcterms:W3CDTF">2014-01-09T12:34:00Z</dcterms:created>
  <dcterms:modified xsi:type="dcterms:W3CDTF">2014-01-10T14:08:00Z</dcterms:modified>
</cp:coreProperties>
</file>