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55D" w:rsidRDefault="007C255D">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7C255D" w:rsidRDefault="007C255D">
      <w:pPr>
        <w:tabs>
          <w:tab w:val="left" w:pos="-720"/>
        </w:tabs>
        <w:suppressAutoHyphens/>
        <w:jc w:val="center"/>
        <w:rPr>
          <w:rFonts w:ascii="Helvetica" w:hAnsi="Helvetica"/>
          <w:b/>
          <w:lang w:val="es-ES_tradnl"/>
        </w:rPr>
      </w:pPr>
    </w:p>
    <w:p w:rsidR="007C255D" w:rsidRDefault="007C255D">
      <w:pPr>
        <w:tabs>
          <w:tab w:val="center" w:pos="4253"/>
        </w:tabs>
        <w:suppressAutoHyphens/>
        <w:jc w:val="center"/>
        <w:rPr>
          <w:rFonts w:ascii="Helvetica" w:hAnsi="Helvetica"/>
          <w:b/>
          <w:lang w:val="es-ES_tradnl"/>
        </w:rPr>
      </w:pPr>
      <w:r>
        <w:rPr>
          <w:rFonts w:ascii="Helvetica" w:hAnsi="Helvetica"/>
          <w:b/>
          <w:lang w:val="es-ES_tradnl"/>
        </w:rPr>
        <w:t>TRIBUNAL DE CUENTAS</w:t>
      </w:r>
    </w:p>
    <w:p w:rsidR="007C255D" w:rsidRDefault="007C255D">
      <w:pPr>
        <w:tabs>
          <w:tab w:val="left" w:pos="-720"/>
        </w:tabs>
        <w:suppressAutoHyphens/>
        <w:jc w:val="center"/>
        <w:rPr>
          <w:rFonts w:ascii="Helvetica" w:hAnsi="Helvetica"/>
          <w:b/>
          <w:lang w:val="es-ES_tradnl"/>
        </w:rPr>
      </w:pPr>
    </w:p>
    <w:p w:rsidR="007C255D" w:rsidRDefault="007C255D">
      <w:pPr>
        <w:tabs>
          <w:tab w:val="center" w:pos="4253"/>
        </w:tabs>
        <w:suppressAutoHyphens/>
        <w:jc w:val="center"/>
        <w:rPr>
          <w:rFonts w:ascii="Helvetica" w:hAnsi="Helvetica"/>
          <w:b/>
          <w:lang w:val="es-ES_tradnl"/>
        </w:rPr>
      </w:pPr>
      <w:r>
        <w:rPr>
          <w:rFonts w:ascii="Helvetica" w:hAnsi="Helvetica"/>
          <w:b/>
          <w:lang w:val="es-ES_tradnl"/>
        </w:rPr>
        <w:t>EN SESION DE FECHA 30 DE DICIEMBRE DE 2013</w:t>
      </w:r>
    </w:p>
    <w:p w:rsidR="007C255D" w:rsidRDefault="007C255D">
      <w:pPr>
        <w:tabs>
          <w:tab w:val="center" w:pos="4253"/>
        </w:tabs>
        <w:suppressAutoHyphens/>
        <w:jc w:val="center"/>
        <w:rPr>
          <w:rFonts w:ascii="Helvetica" w:hAnsi="Helvetica"/>
          <w:b/>
          <w:lang w:val="es-ES_tradnl"/>
        </w:rPr>
      </w:pPr>
    </w:p>
    <w:p w:rsidR="007C255D" w:rsidRPr="00563757" w:rsidRDefault="007C255D" w:rsidP="007472AD">
      <w:pPr>
        <w:tabs>
          <w:tab w:val="center" w:pos="4253"/>
        </w:tabs>
        <w:suppressAutoHyphens/>
        <w:jc w:val="center"/>
        <w:rPr>
          <w:rFonts w:ascii="Arial" w:hAnsi="Arial" w:cs="Arial"/>
          <w:b/>
          <w:lang w:val="es-MX"/>
        </w:rPr>
      </w:pPr>
      <w:r w:rsidRPr="00563757">
        <w:rPr>
          <w:rFonts w:ascii="Arial" w:hAnsi="Arial" w:cs="Arial"/>
          <w:b/>
          <w:lang w:val="es-ES_tradnl"/>
        </w:rPr>
        <w:t xml:space="preserve">(E. E. Nº </w:t>
      </w:r>
      <w:r>
        <w:rPr>
          <w:rFonts w:ascii="Arial" w:hAnsi="Arial" w:cs="Arial"/>
          <w:b/>
          <w:lang w:val="es-ES_tradnl"/>
        </w:rPr>
        <w:t>2013-17-1-0007827,</w:t>
      </w:r>
      <w:r w:rsidRPr="00563757">
        <w:rPr>
          <w:rFonts w:ascii="Arial" w:hAnsi="Arial" w:cs="Arial"/>
          <w:b/>
        </w:rPr>
        <w:t xml:space="preserve"> </w:t>
      </w:r>
      <w:r w:rsidRPr="00563757">
        <w:rPr>
          <w:rFonts w:ascii="Arial" w:hAnsi="Arial" w:cs="Arial"/>
          <w:b/>
          <w:lang w:val="es-MX"/>
        </w:rPr>
        <w:t>E. N°</w:t>
      </w:r>
      <w:r>
        <w:rPr>
          <w:rFonts w:ascii="Arial" w:hAnsi="Arial" w:cs="Arial"/>
          <w:b/>
          <w:lang w:val="es-MX"/>
        </w:rPr>
        <w:t xml:space="preserve"> 6724/13</w:t>
      </w:r>
      <w:r w:rsidRPr="00563757">
        <w:rPr>
          <w:rFonts w:ascii="Arial" w:hAnsi="Arial" w:cs="Arial"/>
          <w:b/>
          <w:lang w:val="es-MX"/>
        </w:rPr>
        <w:t>)</w:t>
      </w:r>
    </w:p>
    <w:p w:rsidR="007C255D" w:rsidRDefault="007C255D">
      <w:pPr>
        <w:rPr>
          <w:rFonts w:ascii="Arial" w:hAnsi="Arial"/>
        </w:rPr>
      </w:pPr>
    </w:p>
    <w:p w:rsidR="007C255D" w:rsidRPr="007C255D" w:rsidRDefault="007C255D">
      <w:pPr>
        <w:tabs>
          <w:tab w:val="center" w:pos="4253"/>
        </w:tabs>
        <w:suppressAutoHyphens/>
        <w:jc w:val="center"/>
        <w:rPr>
          <w:rFonts w:ascii="Arial" w:hAnsi="Arial"/>
          <w:spacing w:val="-3"/>
          <w:lang w:val="es-UY"/>
        </w:rPr>
      </w:pPr>
    </w:p>
    <w:p w:rsidR="00A20317" w:rsidRDefault="004023A5" w:rsidP="007C255D">
      <w:pPr>
        <w:spacing w:line="360" w:lineRule="auto"/>
        <w:ind w:firstLine="708"/>
        <w:jc w:val="both"/>
        <w:rPr>
          <w:rFonts w:ascii="Arial" w:hAnsi="Arial" w:cs="Arial"/>
        </w:rPr>
      </w:pPr>
      <w:r>
        <w:rPr>
          <w:rFonts w:ascii="Arial" w:hAnsi="Arial" w:cs="Arial"/>
          <w:b/>
          <w:bCs/>
        </w:rPr>
        <w:t>VISTO</w:t>
      </w:r>
      <w:r w:rsidR="007C255D">
        <w:rPr>
          <w:rFonts w:ascii="Arial" w:hAnsi="Arial" w:cs="Arial"/>
          <w:b/>
          <w:bCs/>
        </w:rPr>
        <w:t>:</w:t>
      </w:r>
      <w:r>
        <w:rPr>
          <w:rFonts w:ascii="Arial" w:hAnsi="Arial" w:cs="Arial"/>
        </w:rPr>
        <w:t xml:space="preserve"> estas actuaciones remitidas por el Ministerio de Transporte y Obras Públicas (MTOP), relacionadas con la modificación del convenio suscrito para la construcción de un puente en la Ruta Nº 10 sobre la Laguna Garzón, en el límite departamental entre Maldonado y Rocha; </w:t>
      </w:r>
    </w:p>
    <w:p w:rsidR="00A20317" w:rsidRDefault="004023A5" w:rsidP="007C255D">
      <w:pPr>
        <w:spacing w:line="360" w:lineRule="auto"/>
        <w:ind w:firstLine="708"/>
        <w:jc w:val="both"/>
        <w:rPr>
          <w:rFonts w:ascii="Arial" w:hAnsi="Arial" w:cs="Arial"/>
        </w:rPr>
      </w:pPr>
      <w:r>
        <w:rPr>
          <w:rFonts w:ascii="Arial" w:hAnsi="Arial" w:cs="Arial"/>
          <w:b/>
          <w:bCs/>
        </w:rPr>
        <w:t>RESULTANDO: 1)</w:t>
      </w:r>
      <w:r>
        <w:rPr>
          <w:rFonts w:ascii="Arial" w:hAnsi="Arial" w:cs="Arial"/>
        </w:rPr>
        <w:t xml:space="preserve"> que con fecha 16 de diciembre de 2008, el Ministerio de Transporte y Obras Públicas (MTOP) suscribió un convenio con la empresa </w:t>
      </w:r>
      <w:proofErr w:type="spellStart"/>
      <w:r>
        <w:rPr>
          <w:rFonts w:ascii="Arial" w:hAnsi="Arial" w:cs="Arial"/>
        </w:rPr>
        <w:t>Jaswik</w:t>
      </w:r>
      <w:proofErr w:type="spellEnd"/>
      <w:r>
        <w:rPr>
          <w:rFonts w:ascii="Arial" w:hAnsi="Arial" w:cs="Arial"/>
        </w:rPr>
        <w:t xml:space="preserve"> S</w:t>
      </w:r>
      <w:r w:rsidR="00F600E4">
        <w:rPr>
          <w:rFonts w:ascii="Arial" w:hAnsi="Arial" w:cs="Arial"/>
        </w:rPr>
        <w:t>.</w:t>
      </w:r>
      <w:r>
        <w:rPr>
          <w:rFonts w:ascii="Arial" w:hAnsi="Arial" w:cs="Arial"/>
        </w:rPr>
        <w:t>A</w:t>
      </w:r>
      <w:r w:rsidR="00F600E4">
        <w:rPr>
          <w:rFonts w:ascii="Arial" w:hAnsi="Arial" w:cs="Arial"/>
        </w:rPr>
        <w:t>.</w:t>
      </w:r>
      <w:r>
        <w:rPr>
          <w:rFonts w:ascii="Arial" w:hAnsi="Arial" w:cs="Arial"/>
        </w:rPr>
        <w:t xml:space="preserve"> (actual denominación “La Garzas Blancas S.A.”), y la conformidad de las Intendencias de Rocha y Maldonado, con el objeto de que la mencionada empresa tome a su cargo la construcción en la ruta 10 del puente sobre la Laguna Garzón y sus accesos, as</w:t>
      </w:r>
      <w:r w:rsidR="00F600E4">
        <w:rPr>
          <w:rFonts w:ascii="Arial" w:hAnsi="Arial" w:cs="Arial"/>
        </w:rPr>
        <w:t>í</w:t>
      </w:r>
      <w:r>
        <w:rPr>
          <w:rFonts w:ascii="Arial" w:hAnsi="Arial" w:cs="Arial"/>
        </w:rPr>
        <w:t xml:space="preserve"> como fijar las pautas técnicas y jurídicas para la ejecución de las obras, preservando sus características ambientales y paisajísticas. Todos los costos de la ejecución de estudios, construcción del puente, los imprevistos y extraordinarios son asumidos por la empresa, pasando las referidas construcciones al dominio del Estado por modo accesión. El plazo de ejecución de las obras no podrá exceder los 20 meses contados a partir de la aprobación del </w:t>
      </w:r>
      <w:r w:rsidR="00F600E4">
        <w:rPr>
          <w:rFonts w:ascii="Arial" w:hAnsi="Arial" w:cs="Arial"/>
        </w:rPr>
        <w:t>P</w:t>
      </w:r>
      <w:r>
        <w:rPr>
          <w:rFonts w:ascii="Arial" w:hAnsi="Arial" w:cs="Arial"/>
        </w:rPr>
        <w:t xml:space="preserve">royecto </w:t>
      </w:r>
      <w:r w:rsidR="00F600E4">
        <w:rPr>
          <w:rFonts w:ascii="Arial" w:hAnsi="Arial" w:cs="Arial"/>
        </w:rPr>
        <w:t>E</w:t>
      </w:r>
      <w:r>
        <w:rPr>
          <w:rFonts w:ascii="Arial" w:hAnsi="Arial" w:cs="Arial"/>
        </w:rPr>
        <w:t>jecutivo por parte del MTOP, el que podrá ser extendido por razones de caso fortuito, hecho del príncipe o fuerza mayor;</w:t>
      </w:r>
    </w:p>
    <w:p w:rsidR="00A20317" w:rsidRDefault="004023A5" w:rsidP="0041288E">
      <w:pPr>
        <w:tabs>
          <w:tab w:val="left" w:pos="1680"/>
        </w:tabs>
        <w:spacing w:line="360" w:lineRule="auto"/>
        <w:ind w:firstLine="2552"/>
        <w:jc w:val="both"/>
        <w:rPr>
          <w:rFonts w:ascii="Arial" w:hAnsi="Arial" w:cs="Arial"/>
        </w:rPr>
      </w:pPr>
      <w:r>
        <w:rPr>
          <w:rFonts w:ascii="Arial" w:hAnsi="Arial" w:cs="Arial"/>
          <w:b/>
          <w:bCs/>
        </w:rPr>
        <w:t>2)</w:t>
      </w:r>
      <w:r>
        <w:rPr>
          <w:rFonts w:ascii="Arial" w:hAnsi="Arial" w:cs="Arial"/>
        </w:rPr>
        <w:t xml:space="preserve"> que entre las obligaciones asumidas por la empresa se estipula: </w:t>
      </w:r>
      <w:r w:rsidRPr="00F600E4">
        <w:rPr>
          <w:rFonts w:ascii="Arial" w:hAnsi="Arial" w:cs="Arial"/>
          <w:b/>
        </w:rPr>
        <w:t>2.1</w:t>
      </w:r>
      <w:r>
        <w:rPr>
          <w:rFonts w:ascii="Arial" w:hAnsi="Arial" w:cs="Arial"/>
        </w:rPr>
        <w:t xml:space="preserve">) la presentación de un </w:t>
      </w:r>
      <w:r w:rsidR="00F600E4">
        <w:rPr>
          <w:rFonts w:ascii="Arial" w:hAnsi="Arial" w:cs="Arial"/>
        </w:rPr>
        <w:t>P</w:t>
      </w:r>
      <w:r>
        <w:rPr>
          <w:rFonts w:ascii="Arial" w:hAnsi="Arial" w:cs="Arial"/>
        </w:rPr>
        <w:t xml:space="preserve">royecto </w:t>
      </w:r>
      <w:r w:rsidR="00F600E4">
        <w:rPr>
          <w:rFonts w:ascii="Arial" w:hAnsi="Arial" w:cs="Arial"/>
        </w:rPr>
        <w:t>E</w:t>
      </w:r>
      <w:r>
        <w:rPr>
          <w:rFonts w:ascii="Arial" w:hAnsi="Arial" w:cs="Arial"/>
        </w:rPr>
        <w:t>jecutivo del puente y los estudios necesarios para la correspondiente autorización ambiental previa,</w:t>
      </w:r>
    </w:p>
    <w:p w:rsidR="00A20317" w:rsidRDefault="004023A5" w:rsidP="0041288E">
      <w:pPr>
        <w:tabs>
          <w:tab w:val="left" w:pos="1680"/>
        </w:tabs>
        <w:spacing w:line="360" w:lineRule="auto"/>
        <w:ind w:left="426" w:hanging="426"/>
        <w:jc w:val="both"/>
        <w:rPr>
          <w:rFonts w:ascii="Arial" w:hAnsi="Arial" w:cs="Arial"/>
        </w:rPr>
      </w:pPr>
      <w:r w:rsidRPr="0041288E">
        <w:rPr>
          <w:rFonts w:ascii="Arial" w:hAnsi="Arial" w:cs="Arial"/>
          <w:b/>
        </w:rPr>
        <w:lastRenderedPageBreak/>
        <w:t>2.2</w:t>
      </w:r>
      <w:r w:rsidRPr="005A140D">
        <w:rPr>
          <w:rFonts w:ascii="Arial" w:hAnsi="Arial" w:cs="Arial"/>
        </w:rPr>
        <w:t>)</w:t>
      </w:r>
      <w:r>
        <w:rPr>
          <w:rFonts w:ascii="Arial" w:hAnsi="Arial" w:cs="Arial"/>
        </w:rPr>
        <w:t xml:space="preserve"> complementar el estudio hidráulico de la sección del puente realizado por la empresa, incorporando los requerimientos establecidos por las entidades supervisoras;</w:t>
      </w:r>
    </w:p>
    <w:p w:rsidR="00A20317" w:rsidRDefault="004023A5" w:rsidP="0041288E">
      <w:pPr>
        <w:tabs>
          <w:tab w:val="left" w:pos="1680"/>
        </w:tabs>
        <w:spacing w:line="360" w:lineRule="auto"/>
        <w:ind w:left="426" w:hanging="426"/>
        <w:jc w:val="both"/>
        <w:rPr>
          <w:rFonts w:ascii="Arial" w:hAnsi="Arial" w:cs="Arial"/>
        </w:rPr>
      </w:pPr>
      <w:r w:rsidRPr="0041288E">
        <w:rPr>
          <w:rFonts w:ascii="Arial" w:hAnsi="Arial" w:cs="Arial"/>
          <w:b/>
        </w:rPr>
        <w:t>2.3</w:t>
      </w:r>
      <w:r w:rsidRPr="005A140D">
        <w:rPr>
          <w:rFonts w:ascii="Arial" w:hAnsi="Arial" w:cs="Arial"/>
        </w:rPr>
        <w:t>)</w:t>
      </w:r>
      <w:r>
        <w:rPr>
          <w:rFonts w:ascii="Arial" w:hAnsi="Arial" w:cs="Arial"/>
        </w:rPr>
        <w:t xml:space="preserve"> ejecutar la obra sobre la base de: </w:t>
      </w:r>
      <w:r w:rsidRPr="005A140D">
        <w:rPr>
          <w:rFonts w:ascii="Arial" w:hAnsi="Arial" w:cs="Arial"/>
          <w:b/>
        </w:rPr>
        <w:t>a</w:t>
      </w:r>
      <w:r>
        <w:rPr>
          <w:rFonts w:ascii="Arial" w:hAnsi="Arial" w:cs="Arial"/>
        </w:rPr>
        <w:t xml:space="preserve">) estructura del puente y sus accesos, </w:t>
      </w:r>
      <w:r w:rsidRPr="005A140D">
        <w:rPr>
          <w:rFonts w:ascii="Arial" w:hAnsi="Arial" w:cs="Arial"/>
          <w:b/>
        </w:rPr>
        <w:t>b</w:t>
      </w:r>
      <w:r>
        <w:rPr>
          <w:rFonts w:ascii="Arial" w:hAnsi="Arial" w:cs="Arial"/>
        </w:rPr>
        <w:t>) ubicación y área de influencia de todo el proyecto</w:t>
      </w:r>
      <w:r w:rsidR="005A140D">
        <w:rPr>
          <w:rFonts w:ascii="Arial" w:hAnsi="Arial" w:cs="Arial"/>
        </w:rPr>
        <w:t>,</w:t>
      </w:r>
      <w:r>
        <w:rPr>
          <w:rFonts w:ascii="Arial" w:hAnsi="Arial" w:cs="Arial"/>
        </w:rPr>
        <w:t xml:space="preserve"> </w:t>
      </w:r>
      <w:r w:rsidRPr="005A140D">
        <w:rPr>
          <w:rFonts w:ascii="Arial" w:hAnsi="Arial" w:cs="Arial"/>
          <w:b/>
        </w:rPr>
        <w:t>c</w:t>
      </w:r>
      <w:r>
        <w:rPr>
          <w:rFonts w:ascii="Arial" w:hAnsi="Arial" w:cs="Arial"/>
        </w:rPr>
        <w:t>) definición del procedimiento de ejecución de las obras</w:t>
      </w:r>
      <w:r w:rsidR="005A140D">
        <w:rPr>
          <w:rFonts w:ascii="Arial" w:hAnsi="Arial" w:cs="Arial"/>
        </w:rPr>
        <w:t>, y</w:t>
      </w:r>
      <w:r>
        <w:rPr>
          <w:rFonts w:ascii="Arial" w:hAnsi="Arial" w:cs="Arial"/>
        </w:rPr>
        <w:t xml:space="preserve"> </w:t>
      </w:r>
      <w:r w:rsidRPr="005A140D">
        <w:rPr>
          <w:rFonts w:ascii="Arial" w:hAnsi="Arial" w:cs="Arial"/>
          <w:b/>
        </w:rPr>
        <w:t>d</w:t>
      </w:r>
      <w:r>
        <w:rPr>
          <w:rFonts w:ascii="Arial" w:hAnsi="Arial" w:cs="Arial"/>
        </w:rPr>
        <w:t xml:space="preserve">) terraplenes de acceso pavimentados y obras de protección necesarias; </w:t>
      </w:r>
    </w:p>
    <w:p w:rsidR="00A20317" w:rsidRDefault="004023A5" w:rsidP="0041288E">
      <w:pPr>
        <w:tabs>
          <w:tab w:val="left" w:pos="1680"/>
        </w:tabs>
        <w:spacing w:line="360" w:lineRule="auto"/>
        <w:ind w:firstLine="2552"/>
        <w:jc w:val="both"/>
        <w:rPr>
          <w:rFonts w:ascii="Arial" w:hAnsi="Arial" w:cs="Arial"/>
        </w:rPr>
      </w:pPr>
      <w:r w:rsidRPr="0041288E">
        <w:rPr>
          <w:rFonts w:ascii="Arial" w:hAnsi="Arial" w:cs="Arial"/>
          <w:b/>
        </w:rPr>
        <w:t>3)</w:t>
      </w:r>
      <w:r>
        <w:rPr>
          <w:rFonts w:ascii="Arial" w:hAnsi="Arial" w:cs="Arial"/>
        </w:rPr>
        <w:t xml:space="preserve"> que por su parte el MTOP (Cláusula Tercero </w:t>
      </w:r>
      <w:r w:rsidR="005A140D">
        <w:rPr>
          <w:rFonts w:ascii="Arial" w:hAnsi="Arial" w:cs="Arial"/>
        </w:rPr>
        <w:t>L</w:t>
      </w:r>
      <w:r>
        <w:rPr>
          <w:rFonts w:ascii="Arial" w:hAnsi="Arial" w:cs="Arial"/>
        </w:rPr>
        <w:t>iteral B</w:t>
      </w:r>
      <w:r w:rsidR="005A140D">
        <w:rPr>
          <w:rFonts w:ascii="Arial" w:hAnsi="Arial" w:cs="Arial"/>
        </w:rPr>
        <w:t>)</w:t>
      </w:r>
      <w:r>
        <w:rPr>
          <w:rFonts w:ascii="Arial" w:hAnsi="Arial" w:cs="Arial"/>
        </w:rPr>
        <w:t xml:space="preserve">, se obliga, entre otras, a realizar el estudio y aprobación del Proyecto ejecutivo de las obras, tramitar ante la DINAMA la autorización ambiental previa a la ejecución, supervisar la ejecución de las obras y realizar el mantenimiento de las obras a partir de la recepción definitiva, dictar las reglamentaciones necesarias para regular el tránsito; </w:t>
      </w:r>
    </w:p>
    <w:p w:rsidR="00A20317" w:rsidRDefault="0041288E" w:rsidP="0041288E">
      <w:pPr>
        <w:tabs>
          <w:tab w:val="left" w:pos="1680"/>
        </w:tabs>
        <w:spacing w:line="360" w:lineRule="auto"/>
        <w:ind w:firstLine="2410"/>
        <w:jc w:val="both"/>
        <w:rPr>
          <w:rFonts w:ascii="Arial" w:hAnsi="Arial" w:cs="Arial"/>
        </w:rPr>
      </w:pPr>
      <w:r>
        <w:rPr>
          <w:rFonts w:ascii="Arial" w:hAnsi="Arial" w:cs="Arial"/>
          <w:b/>
        </w:rPr>
        <w:t xml:space="preserve">  </w:t>
      </w:r>
      <w:r w:rsidR="004023A5" w:rsidRPr="0041288E">
        <w:rPr>
          <w:rFonts w:ascii="Arial" w:hAnsi="Arial" w:cs="Arial"/>
          <w:b/>
        </w:rPr>
        <w:t>4)</w:t>
      </w:r>
      <w:r w:rsidR="004023A5">
        <w:rPr>
          <w:rFonts w:ascii="Arial" w:hAnsi="Arial" w:cs="Arial"/>
        </w:rPr>
        <w:t xml:space="preserve"> que las Intendencias mencionadas aceptaron y consintieron el </w:t>
      </w:r>
      <w:r w:rsidR="005A140D">
        <w:rPr>
          <w:rFonts w:ascii="Arial" w:hAnsi="Arial" w:cs="Arial"/>
        </w:rPr>
        <w:t>C</w:t>
      </w:r>
      <w:r w:rsidR="004023A5">
        <w:rPr>
          <w:rFonts w:ascii="Arial" w:hAnsi="Arial" w:cs="Arial"/>
        </w:rPr>
        <w:t xml:space="preserve">onvenio, comprometiéndose a proporcionar todo el apoyo logístico que necesite la ejecución de las obras, así como dictar los decretos o resoluciones que fuere menester para la culminación y habilitación de obras; </w:t>
      </w:r>
    </w:p>
    <w:p w:rsidR="00A20317" w:rsidRDefault="004023A5" w:rsidP="0041288E">
      <w:pPr>
        <w:tabs>
          <w:tab w:val="left" w:pos="1680"/>
        </w:tabs>
        <w:spacing w:line="360" w:lineRule="auto"/>
        <w:ind w:firstLine="2552"/>
        <w:jc w:val="both"/>
        <w:rPr>
          <w:rFonts w:ascii="Arial" w:hAnsi="Arial" w:cs="Arial"/>
        </w:rPr>
      </w:pPr>
      <w:r w:rsidRPr="0041288E">
        <w:rPr>
          <w:rFonts w:ascii="Arial" w:hAnsi="Arial" w:cs="Arial"/>
          <w:b/>
        </w:rPr>
        <w:t>5)</w:t>
      </w:r>
      <w:r>
        <w:rPr>
          <w:rFonts w:ascii="Arial" w:hAnsi="Arial" w:cs="Arial"/>
        </w:rPr>
        <w:t xml:space="preserve"> que el referido Convenio fue intervenido por este Tribunal en Sesión de fecha 14.1.2009 y aprobado por el Poder Ejecu</w:t>
      </w:r>
      <w:r w:rsidR="005A140D">
        <w:rPr>
          <w:rFonts w:ascii="Arial" w:hAnsi="Arial" w:cs="Arial"/>
        </w:rPr>
        <w:t>tivo por Resolución 671/009 de 02.03.2009</w:t>
      </w:r>
      <w:r>
        <w:rPr>
          <w:rFonts w:ascii="Arial" w:hAnsi="Arial" w:cs="Arial"/>
        </w:rPr>
        <w:t>;</w:t>
      </w:r>
    </w:p>
    <w:p w:rsidR="0041288E" w:rsidRDefault="004023A5" w:rsidP="0041288E">
      <w:pPr>
        <w:tabs>
          <w:tab w:val="left" w:pos="1620"/>
        </w:tabs>
        <w:spacing w:line="360" w:lineRule="auto"/>
        <w:ind w:firstLine="2552"/>
        <w:jc w:val="both"/>
        <w:rPr>
          <w:rFonts w:ascii="Arial" w:hAnsi="Arial" w:cs="Arial"/>
        </w:rPr>
      </w:pPr>
      <w:r w:rsidRPr="0041288E">
        <w:rPr>
          <w:rFonts w:ascii="Arial" w:hAnsi="Arial" w:cs="Arial"/>
          <w:b/>
        </w:rPr>
        <w:t>6</w:t>
      </w:r>
      <w:r>
        <w:rPr>
          <w:rFonts w:ascii="Arial" w:hAnsi="Arial" w:cs="Arial"/>
          <w:b/>
          <w:bCs/>
        </w:rPr>
        <w:t xml:space="preserve">) </w:t>
      </w:r>
      <w:r>
        <w:rPr>
          <w:rFonts w:ascii="Arial" w:hAnsi="Arial" w:cs="Arial"/>
        </w:rPr>
        <w:t xml:space="preserve">que asimismo, por Resolución de fecha 8.1.2013 el MVOTMA concedió Autorización Ambiental al MTOP para el </w:t>
      </w:r>
      <w:r w:rsidR="005A140D">
        <w:rPr>
          <w:rFonts w:ascii="Arial" w:hAnsi="Arial" w:cs="Arial"/>
        </w:rPr>
        <w:t>P</w:t>
      </w:r>
      <w:r>
        <w:rPr>
          <w:rFonts w:ascii="Arial" w:hAnsi="Arial" w:cs="Arial"/>
        </w:rPr>
        <w:t>royecto relacionado sujeta al cumplimiento de los compromisos y exigencias establecidas en la misma;</w:t>
      </w:r>
      <w:r>
        <w:rPr>
          <w:rFonts w:ascii="Arial" w:hAnsi="Arial" w:cs="Arial"/>
        </w:rPr>
        <w:tab/>
      </w:r>
    </w:p>
    <w:p w:rsidR="00A20317" w:rsidRDefault="004023A5" w:rsidP="0041288E">
      <w:pPr>
        <w:tabs>
          <w:tab w:val="left" w:pos="1620"/>
        </w:tabs>
        <w:spacing w:line="360" w:lineRule="auto"/>
        <w:ind w:firstLine="2552"/>
        <w:jc w:val="both"/>
        <w:rPr>
          <w:rFonts w:ascii="Arial" w:hAnsi="Arial" w:cs="Arial"/>
        </w:rPr>
      </w:pPr>
      <w:r w:rsidRPr="0041288E">
        <w:rPr>
          <w:rFonts w:ascii="Arial" w:hAnsi="Arial" w:cs="Arial"/>
          <w:b/>
        </w:rPr>
        <w:t>7</w:t>
      </w:r>
      <w:r>
        <w:rPr>
          <w:rFonts w:ascii="Arial" w:hAnsi="Arial" w:cs="Arial"/>
          <w:b/>
          <w:bCs/>
        </w:rPr>
        <w:t xml:space="preserve">) </w:t>
      </w:r>
      <w:r>
        <w:rPr>
          <w:rFonts w:ascii="Arial" w:hAnsi="Arial" w:cs="Arial"/>
        </w:rPr>
        <w:t xml:space="preserve">que en esta oportunidad se remite modificación del </w:t>
      </w:r>
      <w:r w:rsidR="005A140D">
        <w:rPr>
          <w:rFonts w:ascii="Arial" w:hAnsi="Arial" w:cs="Arial"/>
        </w:rPr>
        <w:t>C</w:t>
      </w:r>
      <w:r>
        <w:rPr>
          <w:rFonts w:ascii="Arial" w:hAnsi="Arial" w:cs="Arial"/>
        </w:rPr>
        <w:t xml:space="preserve">onvenio citado, fundamentada en las condiciones resultantes del proceso de autorización </w:t>
      </w:r>
      <w:r w:rsidR="005A140D">
        <w:rPr>
          <w:rFonts w:ascii="Arial" w:hAnsi="Arial" w:cs="Arial"/>
        </w:rPr>
        <w:t>a</w:t>
      </w:r>
      <w:r>
        <w:rPr>
          <w:rFonts w:ascii="Arial" w:hAnsi="Arial" w:cs="Arial"/>
        </w:rPr>
        <w:t xml:space="preserve">mbiental del Proyecto, aprobado por RM 7/2013 de 8.1.2013, que concedió al MTOP la autorización ambiental condicionado a la presentación de un proyecto ajustado; </w:t>
      </w:r>
    </w:p>
    <w:p w:rsidR="00A20317" w:rsidRDefault="0041288E" w:rsidP="0041288E">
      <w:pPr>
        <w:spacing w:line="360" w:lineRule="auto"/>
        <w:ind w:firstLine="2552"/>
        <w:jc w:val="both"/>
        <w:rPr>
          <w:rFonts w:ascii="Arial" w:hAnsi="Arial" w:cs="Arial"/>
        </w:rPr>
      </w:pPr>
      <w:r>
        <w:rPr>
          <w:rFonts w:ascii="Arial" w:hAnsi="Arial" w:cs="Arial"/>
          <w:b/>
        </w:rPr>
        <w:lastRenderedPageBreak/>
        <w:t>8</w:t>
      </w:r>
      <w:r w:rsidR="004023A5" w:rsidRPr="0041288E">
        <w:rPr>
          <w:rFonts w:ascii="Arial" w:hAnsi="Arial" w:cs="Arial"/>
          <w:b/>
        </w:rPr>
        <w:t>)</w:t>
      </w:r>
      <w:r w:rsidR="004023A5">
        <w:rPr>
          <w:rFonts w:ascii="Arial" w:hAnsi="Arial" w:cs="Arial"/>
        </w:rPr>
        <w:t xml:space="preserve"> que las </w:t>
      </w:r>
      <w:r w:rsidR="00410FEB">
        <w:rPr>
          <w:rFonts w:ascii="Arial" w:hAnsi="Arial" w:cs="Arial"/>
        </w:rPr>
        <w:t>C</w:t>
      </w:r>
      <w:r w:rsidR="004023A5">
        <w:rPr>
          <w:rFonts w:ascii="Arial" w:hAnsi="Arial" w:cs="Arial"/>
        </w:rPr>
        <w:t xml:space="preserve">láusulas modificadas atienden principalmente al </w:t>
      </w:r>
      <w:r w:rsidR="00410FEB">
        <w:rPr>
          <w:rFonts w:ascii="Arial" w:hAnsi="Arial" w:cs="Arial"/>
        </w:rPr>
        <w:t>O</w:t>
      </w:r>
      <w:r w:rsidR="004023A5">
        <w:rPr>
          <w:rFonts w:ascii="Arial" w:hAnsi="Arial" w:cs="Arial"/>
        </w:rPr>
        <w:t xml:space="preserve">bjeto del </w:t>
      </w:r>
      <w:r w:rsidR="00410FEB">
        <w:rPr>
          <w:rFonts w:ascii="Arial" w:hAnsi="Arial" w:cs="Arial"/>
        </w:rPr>
        <w:t>C</w:t>
      </w:r>
      <w:r w:rsidR="004023A5">
        <w:rPr>
          <w:rFonts w:ascii="Arial" w:hAnsi="Arial" w:cs="Arial"/>
        </w:rPr>
        <w:t xml:space="preserve">onvenio, en los siguientes términos: </w:t>
      </w:r>
    </w:p>
    <w:p w:rsidR="00A20317" w:rsidRDefault="004023A5">
      <w:pPr>
        <w:spacing w:line="360" w:lineRule="auto"/>
        <w:jc w:val="both"/>
        <w:rPr>
          <w:rFonts w:ascii="Arial" w:hAnsi="Arial" w:cs="Arial"/>
        </w:rPr>
      </w:pPr>
      <w:r w:rsidRPr="0041288E">
        <w:rPr>
          <w:rFonts w:ascii="Arial" w:hAnsi="Arial" w:cs="Arial"/>
          <w:b/>
        </w:rPr>
        <w:t>8.1</w:t>
      </w:r>
      <w:r w:rsidR="0041288E" w:rsidRPr="0041288E">
        <w:rPr>
          <w:rFonts w:ascii="Arial" w:hAnsi="Arial" w:cs="Arial"/>
          <w:b/>
        </w:rPr>
        <w:t>)</w:t>
      </w:r>
      <w:r>
        <w:rPr>
          <w:rFonts w:ascii="Arial" w:hAnsi="Arial" w:cs="Arial"/>
        </w:rPr>
        <w:t xml:space="preserve"> Cláusula Segundo </w:t>
      </w:r>
      <w:r w:rsidR="00410FEB">
        <w:rPr>
          <w:rFonts w:ascii="Arial" w:hAnsi="Arial" w:cs="Arial"/>
        </w:rPr>
        <w:t>N</w:t>
      </w:r>
      <w:r>
        <w:rPr>
          <w:rFonts w:ascii="Arial" w:hAnsi="Arial" w:cs="Arial"/>
        </w:rPr>
        <w:t>umerales I y II): Aceptar la propuesta real</w:t>
      </w:r>
      <w:r w:rsidR="00410FEB">
        <w:rPr>
          <w:rFonts w:ascii="Arial" w:hAnsi="Arial" w:cs="Arial"/>
        </w:rPr>
        <w:t>izada por Las Garzas Blancas S.</w:t>
      </w:r>
      <w:r>
        <w:rPr>
          <w:rFonts w:ascii="Arial" w:hAnsi="Arial" w:cs="Arial"/>
        </w:rPr>
        <w:t>A. Al Estado uruguayo, cuyo objeto es la construcción en la Ruta Nº 10 del puente sobre la laguna Garzón, según proyecto que se agrega</w:t>
      </w:r>
      <w:r w:rsidR="00410FEB">
        <w:rPr>
          <w:rFonts w:ascii="Arial" w:hAnsi="Arial" w:cs="Arial"/>
        </w:rPr>
        <w:t xml:space="preserve">. </w:t>
      </w:r>
      <w:r>
        <w:rPr>
          <w:rFonts w:ascii="Arial" w:hAnsi="Arial" w:cs="Arial"/>
        </w:rPr>
        <w:t xml:space="preserve"> </w:t>
      </w:r>
      <w:r w:rsidR="00410FEB">
        <w:rPr>
          <w:rFonts w:ascii="Arial" w:hAnsi="Arial" w:cs="Arial"/>
        </w:rPr>
        <w:t>S</w:t>
      </w:r>
      <w:r>
        <w:rPr>
          <w:rFonts w:ascii="Arial" w:hAnsi="Arial" w:cs="Arial"/>
        </w:rPr>
        <w:t>e deja expresa constancia de que no incluye la construcción de los accesos viales, las losas de aproximación y revestimientos y otros aditamentos de las zonas de paseo peatonal que serán asumidos por el MTOP;</w:t>
      </w:r>
    </w:p>
    <w:p w:rsidR="00A20317" w:rsidRDefault="004023A5">
      <w:pPr>
        <w:spacing w:line="360" w:lineRule="auto"/>
        <w:jc w:val="both"/>
        <w:rPr>
          <w:rFonts w:ascii="Arial" w:hAnsi="Arial" w:cs="Arial"/>
        </w:rPr>
      </w:pPr>
      <w:r w:rsidRPr="0041288E">
        <w:rPr>
          <w:rFonts w:ascii="Arial" w:hAnsi="Arial" w:cs="Arial"/>
          <w:b/>
        </w:rPr>
        <w:t>8.2</w:t>
      </w:r>
      <w:r w:rsidR="0041288E" w:rsidRPr="0041288E">
        <w:rPr>
          <w:rFonts w:ascii="Arial" w:hAnsi="Arial" w:cs="Arial"/>
          <w:b/>
        </w:rPr>
        <w:t>)</w:t>
      </w:r>
      <w:r>
        <w:rPr>
          <w:rFonts w:ascii="Arial" w:hAnsi="Arial" w:cs="Arial"/>
        </w:rPr>
        <w:t xml:space="preserve"> los costos de construcción del puente y sus accesos se dividirán entre las partes, según las obligaciones que cada una sume en la presente modificación; </w:t>
      </w:r>
    </w:p>
    <w:p w:rsidR="00A20317" w:rsidRDefault="004023A5">
      <w:pPr>
        <w:pStyle w:val="Textoindependiente"/>
      </w:pPr>
      <w:r w:rsidRPr="0041288E">
        <w:rPr>
          <w:b/>
        </w:rPr>
        <w:t>8.3</w:t>
      </w:r>
      <w:r w:rsidR="0041288E">
        <w:rPr>
          <w:b/>
        </w:rPr>
        <w:t>)</w:t>
      </w:r>
      <w:r>
        <w:t xml:space="preserve"> Cláusula Tercer</w:t>
      </w:r>
      <w:r w:rsidR="00410FEB">
        <w:t>a</w:t>
      </w:r>
      <w:r>
        <w:t>:</w:t>
      </w:r>
      <w:r w:rsidR="00410FEB">
        <w:t xml:space="preserve"> </w:t>
      </w:r>
      <w:r>
        <w:t xml:space="preserve"> </w:t>
      </w:r>
      <w:r w:rsidR="00410FEB">
        <w:t>L</w:t>
      </w:r>
      <w:r>
        <w:t xml:space="preserve">iteral A, </w:t>
      </w:r>
      <w:r w:rsidR="00410FEB">
        <w:t>N</w:t>
      </w:r>
      <w:r>
        <w:t xml:space="preserve">umerales I, III y VIII: Prevé  las obligaciones de Las Garzas Blancas S. A., de las que se destaca: </w:t>
      </w:r>
      <w:r w:rsidR="00410FEB">
        <w:t xml:space="preserve"> </w:t>
      </w:r>
      <w:r w:rsidRPr="00410FEB">
        <w:rPr>
          <w:b/>
        </w:rPr>
        <w:t>a</w:t>
      </w:r>
      <w:r>
        <w:t xml:space="preserve">) Formular el </w:t>
      </w:r>
      <w:r w:rsidR="00410FEB">
        <w:t>P</w:t>
      </w:r>
      <w:r>
        <w:t xml:space="preserve">royecto </w:t>
      </w:r>
      <w:r w:rsidR="00410FEB">
        <w:t>E</w:t>
      </w:r>
      <w:r>
        <w:t xml:space="preserve">jecutivo del puente con arreglo a las especificaciones que se establecen en el Anexo II, </w:t>
      </w:r>
      <w:r w:rsidRPr="00410FEB">
        <w:rPr>
          <w:b/>
        </w:rPr>
        <w:t>b</w:t>
      </w:r>
      <w:r>
        <w:t xml:space="preserve">) Ejecutar las obras sobre la base estructural que se formula en </w:t>
      </w:r>
      <w:r w:rsidR="00410FEB">
        <w:t xml:space="preserve">el </w:t>
      </w:r>
      <w:r>
        <w:t>Anexo I y lo exigido en la RM 7/2013 de autorización</w:t>
      </w:r>
      <w:r w:rsidR="00410FEB">
        <w:t>,</w:t>
      </w:r>
      <w:r>
        <w:t xml:space="preserve"> </w:t>
      </w:r>
      <w:r w:rsidR="00410FEB">
        <w:t xml:space="preserve">y </w:t>
      </w:r>
      <w:r w:rsidRPr="00410FEB">
        <w:rPr>
          <w:b/>
        </w:rPr>
        <w:t>c</w:t>
      </w:r>
      <w:r>
        <w:t xml:space="preserve">) coordinar los trabajos con la o las empresas que tendrán a su cargo las obras de acceso vial, y demás elementos no incluidos en sus obligaciones; </w:t>
      </w:r>
    </w:p>
    <w:p w:rsidR="00A20317" w:rsidRDefault="004023A5">
      <w:pPr>
        <w:pStyle w:val="Textoindependiente"/>
      </w:pPr>
      <w:r w:rsidRPr="0041288E">
        <w:rPr>
          <w:b/>
        </w:rPr>
        <w:t>8.4</w:t>
      </w:r>
      <w:r w:rsidR="0041288E" w:rsidRPr="0041288E">
        <w:rPr>
          <w:b/>
        </w:rPr>
        <w:t>)</w:t>
      </w:r>
      <w:r>
        <w:t xml:space="preserve"> Cláusula Tercero, literal B, numerales VIII y IX: el MTOP asume nuevas obligaciones sin perjuicio de las ya estipuladas, de las que se destaca: </w:t>
      </w:r>
      <w:r w:rsidRPr="00410FEB">
        <w:rPr>
          <w:b/>
        </w:rPr>
        <w:t>a</w:t>
      </w:r>
      <w:r>
        <w:t>) ejecutar los accesos viales, revestimientos, aditamentos de</w:t>
      </w:r>
      <w:r w:rsidR="00410FEB">
        <w:t xml:space="preserve"> las zonas de paseo peatonal y </w:t>
      </w:r>
      <w:r>
        <w:t xml:space="preserve">señalización, </w:t>
      </w:r>
      <w:r w:rsidR="00410FEB">
        <w:t xml:space="preserve">y </w:t>
      </w:r>
      <w:r w:rsidRPr="00410FEB">
        <w:rPr>
          <w:b/>
        </w:rPr>
        <w:t>b</w:t>
      </w:r>
      <w:r>
        <w:t xml:space="preserve">) ejecutar las obras a su cargo imprescindibles para la habilitación del tránsito en el Puente sobre la laguna Garzón, en el plazo máximo de 9 meses; </w:t>
      </w:r>
    </w:p>
    <w:p w:rsidR="00A20317" w:rsidRDefault="004023A5">
      <w:pPr>
        <w:pStyle w:val="Textoindependiente"/>
      </w:pPr>
      <w:r w:rsidRPr="0041288E">
        <w:rPr>
          <w:b/>
        </w:rPr>
        <w:t>8.5</w:t>
      </w:r>
      <w:r w:rsidR="0041288E" w:rsidRPr="0041288E">
        <w:rPr>
          <w:b/>
        </w:rPr>
        <w:t>)</w:t>
      </w:r>
      <w:r>
        <w:t xml:space="preserve"> La falta de cumplimiento de cualquiera de las partes de las obligaciones previstas habilitará a la otra a interrumpir la ejecución de sus propias obligaciones y en su caso rescindir el </w:t>
      </w:r>
      <w:r w:rsidR="00410FEB">
        <w:t>C</w:t>
      </w:r>
      <w:r>
        <w:t>onvenio y reclamar los daños y perjuicios ocasionados;</w:t>
      </w:r>
    </w:p>
    <w:p w:rsidR="00A20317" w:rsidRDefault="004023A5">
      <w:pPr>
        <w:pStyle w:val="Textoindependiente"/>
      </w:pPr>
      <w:r w:rsidRPr="0041288E">
        <w:rPr>
          <w:b/>
        </w:rPr>
        <w:lastRenderedPageBreak/>
        <w:t>8.6</w:t>
      </w:r>
      <w:r w:rsidR="0041288E" w:rsidRPr="0041288E">
        <w:rPr>
          <w:b/>
        </w:rPr>
        <w:t>)</w:t>
      </w:r>
      <w:r>
        <w:t xml:space="preserve"> se propi</w:t>
      </w:r>
      <w:r w:rsidR="007472AD">
        <w:t>ci</w:t>
      </w:r>
      <w:r>
        <w:t>a que la empresa contratista tramite la obtención de los beneficios tributarios establecidos en la ley 16.906 respecto de las actividades vinculadas a la construcción del puente y sus accesos en la ruta Nº 10</w:t>
      </w:r>
      <w:r w:rsidR="007472AD">
        <w:t>;</w:t>
      </w:r>
      <w:r>
        <w:t xml:space="preserve"> </w:t>
      </w:r>
    </w:p>
    <w:p w:rsidR="00A20317" w:rsidRDefault="004023A5" w:rsidP="0041288E">
      <w:pPr>
        <w:spacing w:line="360" w:lineRule="auto"/>
        <w:ind w:firstLine="2552"/>
        <w:jc w:val="both"/>
        <w:rPr>
          <w:rFonts w:ascii="Arial" w:hAnsi="Arial" w:cs="Arial"/>
        </w:rPr>
      </w:pPr>
      <w:r w:rsidRPr="0041288E">
        <w:rPr>
          <w:rFonts w:ascii="Arial" w:hAnsi="Arial" w:cs="Arial"/>
          <w:b/>
        </w:rPr>
        <w:t>9)</w:t>
      </w:r>
      <w:r>
        <w:rPr>
          <w:rFonts w:ascii="Arial" w:hAnsi="Arial" w:cs="Arial"/>
        </w:rPr>
        <w:t xml:space="preserve"> que se adjuntan a los antecedentes: Anexo I</w:t>
      </w:r>
      <w:proofErr w:type="gramStart"/>
      <w:r>
        <w:rPr>
          <w:rFonts w:ascii="Arial" w:hAnsi="Arial" w:cs="Arial"/>
        </w:rPr>
        <w:t xml:space="preserve">: </w:t>
      </w:r>
      <w:r w:rsidR="007472AD">
        <w:rPr>
          <w:rFonts w:ascii="Arial" w:hAnsi="Arial" w:cs="Arial"/>
        </w:rPr>
        <w:t xml:space="preserve"> P</w:t>
      </w:r>
      <w:r>
        <w:rPr>
          <w:rFonts w:ascii="Arial" w:hAnsi="Arial" w:cs="Arial"/>
        </w:rPr>
        <w:t>lanos</w:t>
      </w:r>
      <w:proofErr w:type="gramEnd"/>
      <w:r>
        <w:rPr>
          <w:rFonts w:ascii="Arial" w:hAnsi="Arial" w:cs="Arial"/>
        </w:rPr>
        <w:t xml:space="preserve"> de </w:t>
      </w:r>
      <w:r w:rsidR="007472AD">
        <w:rPr>
          <w:rFonts w:ascii="Arial" w:hAnsi="Arial" w:cs="Arial"/>
        </w:rPr>
        <w:t>P</w:t>
      </w:r>
      <w:r>
        <w:rPr>
          <w:rFonts w:ascii="Arial" w:hAnsi="Arial" w:cs="Arial"/>
        </w:rPr>
        <w:t xml:space="preserve">royecto de referencia; Anexo II Especificaciones Técnicas Particulares; </w:t>
      </w:r>
      <w:r w:rsidR="007472AD">
        <w:rPr>
          <w:rFonts w:ascii="Arial" w:hAnsi="Arial" w:cs="Arial"/>
        </w:rPr>
        <w:t>A</w:t>
      </w:r>
      <w:r>
        <w:rPr>
          <w:rFonts w:ascii="Arial" w:hAnsi="Arial" w:cs="Arial"/>
        </w:rPr>
        <w:t xml:space="preserve">nexo III Cronograma de </w:t>
      </w:r>
      <w:r w:rsidR="007472AD">
        <w:rPr>
          <w:rFonts w:ascii="Arial" w:hAnsi="Arial" w:cs="Arial"/>
        </w:rPr>
        <w:t>O</w:t>
      </w:r>
      <w:r>
        <w:rPr>
          <w:rFonts w:ascii="Arial" w:hAnsi="Arial" w:cs="Arial"/>
        </w:rPr>
        <w:t xml:space="preserve">bra, documento suscrito con fecha 15.11.2013 “Convenio Modificativo” ad referéndum de la intervención de este Tribunal y de la aprobación del Poder Ejecutivo, </w:t>
      </w:r>
    </w:p>
    <w:p w:rsidR="00A20317" w:rsidRDefault="004023A5" w:rsidP="0041288E">
      <w:pPr>
        <w:spacing w:line="360" w:lineRule="auto"/>
        <w:ind w:firstLine="2552"/>
        <w:jc w:val="both"/>
        <w:rPr>
          <w:rFonts w:ascii="Arial" w:hAnsi="Arial" w:cs="Arial"/>
        </w:rPr>
      </w:pPr>
      <w:r w:rsidRPr="0041288E">
        <w:rPr>
          <w:rFonts w:ascii="Arial" w:hAnsi="Arial" w:cs="Arial"/>
          <w:b/>
        </w:rPr>
        <w:t>10</w:t>
      </w:r>
      <w:r>
        <w:rPr>
          <w:rFonts w:ascii="Arial" w:hAnsi="Arial" w:cs="Arial"/>
          <w:b/>
          <w:bCs/>
        </w:rPr>
        <w:t xml:space="preserve">) </w:t>
      </w:r>
      <w:r>
        <w:rPr>
          <w:rFonts w:ascii="Arial" w:hAnsi="Arial" w:cs="Arial"/>
        </w:rPr>
        <w:t xml:space="preserve">que no consta en los antecedentes </w:t>
      </w:r>
      <w:r w:rsidR="008816F7">
        <w:rPr>
          <w:rFonts w:ascii="Arial" w:hAnsi="Arial" w:cs="Arial"/>
        </w:rPr>
        <w:t>R</w:t>
      </w:r>
      <w:r>
        <w:rPr>
          <w:rFonts w:ascii="Arial" w:hAnsi="Arial" w:cs="Arial"/>
        </w:rPr>
        <w:t xml:space="preserve">esolución del </w:t>
      </w:r>
      <w:r w:rsidR="00991D81">
        <w:rPr>
          <w:rFonts w:ascii="Arial" w:hAnsi="Arial" w:cs="Arial"/>
        </w:rPr>
        <w:t>O</w:t>
      </w:r>
      <w:r>
        <w:rPr>
          <w:rFonts w:ascii="Arial" w:hAnsi="Arial" w:cs="Arial"/>
        </w:rPr>
        <w:t>rdenador competente disponiendo el gasto</w:t>
      </w:r>
      <w:r w:rsidR="008816F7">
        <w:rPr>
          <w:rFonts w:ascii="Arial" w:hAnsi="Arial" w:cs="Arial"/>
        </w:rPr>
        <w:t>,</w:t>
      </w:r>
      <w:r>
        <w:rPr>
          <w:rFonts w:ascii="Arial" w:hAnsi="Arial" w:cs="Arial"/>
        </w:rPr>
        <w:t xml:space="preserve"> ni informe contable que indique la financiación prevista para atender las inversiones propuestas, disponibilidad presupuestal y afectación del gasto;</w:t>
      </w:r>
    </w:p>
    <w:p w:rsidR="00A20317" w:rsidRPr="00991D81" w:rsidRDefault="004023A5" w:rsidP="00991D81">
      <w:pPr>
        <w:tabs>
          <w:tab w:val="left" w:pos="2280"/>
        </w:tabs>
        <w:spacing w:line="360" w:lineRule="auto"/>
        <w:ind w:firstLine="851"/>
        <w:jc w:val="both"/>
        <w:rPr>
          <w:rFonts w:ascii="Arial" w:hAnsi="Arial" w:cs="Arial"/>
          <w:b/>
          <w:bCs/>
        </w:rPr>
      </w:pPr>
      <w:r>
        <w:rPr>
          <w:rFonts w:ascii="Arial" w:hAnsi="Arial" w:cs="Arial"/>
          <w:b/>
          <w:bCs/>
        </w:rPr>
        <w:t xml:space="preserve">CONSIDERANDO: 1) </w:t>
      </w:r>
      <w:r>
        <w:rPr>
          <w:rFonts w:ascii="Arial" w:hAnsi="Arial" w:cs="Arial"/>
          <w:spacing w:val="-3"/>
          <w:lang w:val="es-ES_tradnl"/>
        </w:rPr>
        <w:t xml:space="preserve">que las modificaciones propuestas al </w:t>
      </w:r>
      <w:r w:rsidR="008816F7">
        <w:rPr>
          <w:rFonts w:ascii="Arial" w:hAnsi="Arial" w:cs="Arial"/>
          <w:spacing w:val="-3"/>
          <w:lang w:val="es-ES_tradnl"/>
        </w:rPr>
        <w:t>C</w:t>
      </w:r>
      <w:r>
        <w:rPr>
          <w:rFonts w:ascii="Arial" w:hAnsi="Arial" w:cs="Arial"/>
          <w:spacing w:val="-3"/>
          <w:lang w:val="es-ES_tradnl"/>
        </w:rPr>
        <w:t>onvenio original afectan a la esencia del</w:t>
      </w:r>
      <w:r w:rsidR="008816F7">
        <w:rPr>
          <w:rFonts w:ascii="Arial" w:hAnsi="Arial" w:cs="Arial"/>
          <w:spacing w:val="-3"/>
          <w:lang w:val="es-ES_tradnl"/>
        </w:rPr>
        <w:t xml:space="preserve"> objeto contractual y por ende </w:t>
      </w:r>
      <w:r>
        <w:rPr>
          <w:rFonts w:ascii="Arial" w:hAnsi="Arial" w:cs="Arial"/>
          <w:spacing w:val="-3"/>
          <w:lang w:val="es-ES_tradnl"/>
        </w:rPr>
        <w:t>las obligaciones asumidas por las partes, alterando sustancialmente la ecuación económica del negocio. En efecto</w:t>
      </w:r>
      <w:r w:rsidR="008816F7">
        <w:rPr>
          <w:rFonts w:ascii="Arial" w:hAnsi="Arial" w:cs="Arial"/>
          <w:spacing w:val="-3"/>
          <w:lang w:val="es-ES_tradnl"/>
        </w:rPr>
        <w:t>, en el primer convenio</w:t>
      </w:r>
      <w:r>
        <w:rPr>
          <w:rFonts w:ascii="Arial" w:hAnsi="Arial" w:cs="Arial"/>
          <w:spacing w:val="-3"/>
          <w:lang w:val="es-ES_tradnl"/>
        </w:rPr>
        <w:t xml:space="preserve"> la obligación de construir quedaba exclusivamente a cargo del contratista</w:t>
      </w:r>
      <w:r w:rsidR="008816F7">
        <w:rPr>
          <w:rFonts w:ascii="Arial" w:hAnsi="Arial" w:cs="Arial"/>
          <w:spacing w:val="-3"/>
          <w:lang w:val="es-ES_tradnl"/>
        </w:rPr>
        <w:t>,</w:t>
      </w:r>
      <w:r>
        <w:rPr>
          <w:rFonts w:ascii="Arial" w:hAnsi="Arial" w:cs="Arial"/>
          <w:spacing w:val="-3"/>
          <w:lang w:val="es-ES_tradnl"/>
        </w:rPr>
        <w:t xml:space="preserve"> y en el actual la Administración asume obligaciones de construcción (accesos peatonales, entre otros); </w:t>
      </w:r>
    </w:p>
    <w:p w:rsidR="00A20317" w:rsidRDefault="004023A5" w:rsidP="00991D81">
      <w:pPr>
        <w:pStyle w:val="Sangradetextonormal"/>
        <w:ind w:firstLine="2977"/>
      </w:pPr>
      <w:r w:rsidRPr="00991D81">
        <w:rPr>
          <w:b/>
        </w:rPr>
        <w:t>2)</w:t>
      </w:r>
      <w:r>
        <w:t xml:space="preserve"> que en tanto la Administración debe realizar gastos corresponde la aplicación de un procedimiento competitivo para la selección del contratante, ya sea licitación pública u otro expresamente previsto (</w:t>
      </w:r>
      <w:r w:rsidR="00991D81">
        <w:t>L</w:t>
      </w:r>
      <w:r>
        <w:t xml:space="preserve">ey Nº </w:t>
      </w:r>
      <w:r w:rsidR="008816F7">
        <w:t>18.786 de participación público-</w:t>
      </w:r>
      <w:r>
        <w:t xml:space="preserve">privada), de conformidad con lo dispuesto por los </w:t>
      </w:r>
      <w:r w:rsidR="00991D81">
        <w:t>A</w:t>
      </w:r>
      <w:r>
        <w:t xml:space="preserve">rtículos 33 y siguientes del TOCAF; </w:t>
      </w:r>
    </w:p>
    <w:p w:rsidR="00A20317" w:rsidRDefault="004023A5" w:rsidP="00991D81">
      <w:pPr>
        <w:spacing w:line="360" w:lineRule="auto"/>
        <w:ind w:firstLine="2977"/>
        <w:jc w:val="both"/>
        <w:rPr>
          <w:rFonts w:ascii="Arial" w:hAnsi="Arial" w:cs="Arial"/>
          <w:spacing w:val="-3"/>
          <w:lang w:val="es-ES_tradnl"/>
        </w:rPr>
      </w:pPr>
      <w:r>
        <w:rPr>
          <w:rFonts w:ascii="Arial" w:hAnsi="Arial" w:cs="Arial"/>
          <w:b/>
          <w:bCs/>
          <w:spacing w:val="-3"/>
          <w:lang w:val="es-ES_tradnl"/>
        </w:rPr>
        <w:t>3)</w:t>
      </w:r>
      <w:r>
        <w:rPr>
          <w:rFonts w:ascii="Arial" w:hAnsi="Arial" w:cs="Arial"/>
          <w:spacing w:val="-3"/>
          <w:lang w:val="es-ES_tradnl"/>
        </w:rPr>
        <w:t xml:space="preserve"> que no indican los recursos presupuestales para atender el gasto proyectado, en contravención </w:t>
      </w:r>
      <w:r w:rsidR="008816F7">
        <w:rPr>
          <w:rFonts w:ascii="Arial" w:hAnsi="Arial" w:cs="Arial"/>
          <w:spacing w:val="-3"/>
          <w:lang w:val="es-ES_tradnl"/>
        </w:rPr>
        <w:t>a</w:t>
      </w:r>
      <w:r>
        <w:rPr>
          <w:rFonts w:ascii="Arial" w:hAnsi="Arial" w:cs="Arial"/>
          <w:spacing w:val="-3"/>
          <w:lang w:val="es-ES_tradnl"/>
        </w:rPr>
        <w:t xml:space="preserve"> lo dispuesto por l</w:t>
      </w:r>
      <w:r w:rsidR="00991D81">
        <w:rPr>
          <w:rFonts w:ascii="Arial" w:hAnsi="Arial" w:cs="Arial"/>
          <w:spacing w:val="-3"/>
          <w:lang w:val="es-ES_tradnl"/>
        </w:rPr>
        <w:t>os</w:t>
      </w:r>
      <w:r>
        <w:rPr>
          <w:rFonts w:ascii="Arial" w:hAnsi="Arial" w:cs="Arial"/>
          <w:spacing w:val="-3"/>
          <w:lang w:val="es-ES_tradnl"/>
        </w:rPr>
        <w:t xml:space="preserve"> </w:t>
      </w:r>
      <w:r w:rsidR="00991D81">
        <w:rPr>
          <w:rFonts w:ascii="Arial" w:hAnsi="Arial" w:cs="Arial"/>
          <w:spacing w:val="-3"/>
          <w:lang w:val="es-ES_tradnl"/>
        </w:rPr>
        <w:t>A</w:t>
      </w:r>
      <w:r>
        <w:rPr>
          <w:rFonts w:ascii="Arial" w:hAnsi="Arial" w:cs="Arial"/>
          <w:spacing w:val="-3"/>
          <w:lang w:val="es-ES_tradnl"/>
        </w:rPr>
        <w:t>rtículo</w:t>
      </w:r>
      <w:r w:rsidR="00991D81">
        <w:rPr>
          <w:rFonts w:ascii="Arial" w:hAnsi="Arial" w:cs="Arial"/>
          <w:spacing w:val="-3"/>
          <w:lang w:val="es-ES_tradnl"/>
        </w:rPr>
        <w:t>s</w:t>
      </w:r>
      <w:r>
        <w:rPr>
          <w:rFonts w:ascii="Arial" w:hAnsi="Arial" w:cs="Arial"/>
          <w:spacing w:val="-3"/>
          <w:lang w:val="es-ES_tradnl"/>
        </w:rPr>
        <w:t xml:space="preserve"> 13 y 15 del TOCAF; </w:t>
      </w:r>
    </w:p>
    <w:p w:rsidR="00A20317" w:rsidRDefault="00F61FE3" w:rsidP="00F61FE3">
      <w:pPr>
        <w:pStyle w:val="Sangra2detindependiente"/>
        <w:ind w:firstLine="2835"/>
      </w:pPr>
      <w:r>
        <w:rPr>
          <w:b/>
        </w:rPr>
        <w:t xml:space="preserve"> </w:t>
      </w:r>
      <w:r w:rsidR="004023A5" w:rsidRPr="00F61FE3">
        <w:rPr>
          <w:b/>
        </w:rPr>
        <w:t>4)</w:t>
      </w:r>
      <w:r w:rsidR="004023A5">
        <w:t xml:space="preserve"> que, en consecuencia, las modificaciones propuestas al </w:t>
      </w:r>
      <w:r w:rsidR="008816F7">
        <w:t>C</w:t>
      </w:r>
      <w:r w:rsidR="004023A5">
        <w:t xml:space="preserve">onvenio con la empresa Las Garzas Blancas S.A. no son ajustadas a </w:t>
      </w:r>
      <w:r w:rsidR="008816F7">
        <w:t>D</w:t>
      </w:r>
      <w:r w:rsidR="004023A5">
        <w:t>erecho;</w:t>
      </w:r>
    </w:p>
    <w:p w:rsidR="00A20317" w:rsidRDefault="004023A5" w:rsidP="00F61FE3">
      <w:pPr>
        <w:spacing w:line="360" w:lineRule="auto"/>
        <w:ind w:firstLine="708"/>
        <w:jc w:val="both"/>
        <w:rPr>
          <w:rFonts w:ascii="Arial" w:hAnsi="Arial" w:cs="Arial"/>
          <w:color w:val="000000"/>
          <w:szCs w:val="15"/>
        </w:rPr>
      </w:pPr>
      <w:r>
        <w:rPr>
          <w:rFonts w:ascii="Arial" w:hAnsi="Arial" w:cs="Arial"/>
          <w:b/>
          <w:bCs/>
        </w:rPr>
        <w:lastRenderedPageBreak/>
        <w:t>ATENTO</w:t>
      </w:r>
      <w:r w:rsidR="00F61FE3">
        <w:rPr>
          <w:rFonts w:ascii="Arial" w:hAnsi="Arial" w:cs="Arial"/>
          <w:b/>
          <w:bCs/>
        </w:rPr>
        <w:t>:</w:t>
      </w:r>
      <w:r>
        <w:rPr>
          <w:rFonts w:ascii="Arial" w:hAnsi="Arial" w:cs="Arial"/>
        </w:rPr>
        <w:t xml:space="preserve"> a lo precedentemente ex</w:t>
      </w:r>
      <w:r w:rsidR="00F61FE3">
        <w:rPr>
          <w:rFonts w:ascii="Arial" w:hAnsi="Arial" w:cs="Arial"/>
        </w:rPr>
        <w:t>puesto y a lo dispuesto por el Artículo 211 L</w:t>
      </w:r>
      <w:r>
        <w:rPr>
          <w:rFonts w:ascii="Arial" w:hAnsi="Arial" w:cs="Arial"/>
        </w:rPr>
        <w:t xml:space="preserve">iteral B) de la Constitución de la República; </w:t>
      </w:r>
    </w:p>
    <w:p w:rsidR="00A20317" w:rsidRDefault="004023A5">
      <w:pPr>
        <w:spacing w:line="360" w:lineRule="auto"/>
        <w:jc w:val="center"/>
        <w:rPr>
          <w:rFonts w:ascii="Arial" w:hAnsi="Arial" w:cs="Arial"/>
          <w:b/>
          <w:bCs/>
        </w:rPr>
      </w:pPr>
      <w:r>
        <w:rPr>
          <w:rFonts w:ascii="Arial" w:hAnsi="Arial" w:cs="Arial"/>
          <w:b/>
          <w:bCs/>
        </w:rPr>
        <w:t>EL TRIBUNAL ACUERDA</w:t>
      </w:r>
    </w:p>
    <w:p w:rsidR="00A20317" w:rsidRPr="00F61FE3" w:rsidRDefault="00F61FE3" w:rsidP="00F61FE3">
      <w:pPr>
        <w:spacing w:line="360" w:lineRule="auto"/>
        <w:ind w:left="284" w:hanging="284"/>
        <w:jc w:val="both"/>
        <w:rPr>
          <w:rFonts w:ascii="Arial" w:hAnsi="Arial" w:cs="Arial"/>
          <w:b/>
        </w:rPr>
      </w:pPr>
      <w:r w:rsidRPr="00F61FE3">
        <w:rPr>
          <w:rFonts w:ascii="Arial" w:hAnsi="Arial" w:cs="Arial"/>
          <w:b/>
        </w:rPr>
        <w:t>1)</w:t>
      </w:r>
      <w:r>
        <w:rPr>
          <w:rFonts w:ascii="Arial" w:hAnsi="Arial" w:cs="Arial"/>
        </w:rPr>
        <w:t xml:space="preserve"> </w:t>
      </w:r>
      <w:r w:rsidR="004023A5">
        <w:rPr>
          <w:rFonts w:ascii="Arial" w:hAnsi="Arial" w:cs="Arial"/>
        </w:rPr>
        <w:t>Observar la modificación contractual entre el MTOP y la empresa Las Garzas Blancas S.A.</w:t>
      </w:r>
    </w:p>
    <w:p w:rsidR="00A20317" w:rsidRDefault="00F61FE3" w:rsidP="00F61FE3">
      <w:pPr>
        <w:spacing w:line="360" w:lineRule="auto"/>
        <w:ind w:left="284" w:hanging="284"/>
        <w:jc w:val="both"/>
        <w:rPr>
          <w:rFonts w:ascii="Arial" w:hAnsi="Arial" w:cs="Arial"/>
        </w:rPr>
      </w:pPr>
      <w:r w:rsidRPr="00F61FE3">
        <w:rPr>
          <w:rFonts w:ascii="Arial" w:hAnsi="Arial" w:cs="Arial"/>
          <w:b/>
        </w:rPr>
        <w:t>2)</w:t>
      </w:r>
      <w:r>
        <w:rPr>
          <w:rFonts w:ascii="Arial" w:hAnsi="Arial" w:cs="Arial"/>
          <w:b/>
        </w:rPr>
        <w:t xml:space="preserve"> </w:t>
      </w:r>
      <w:r w:rsidR="004023A5">
        <w:rPr>
          <w:rFonts w:ascii="Arial" w:hAnsi="Arial" w:cs="Arial"/>
        </w:rPr>
        <w:t>Comunicar a</w:t>
      </w:r>
      <w:r>
        <w:rPr>
          <w:rFonts w:ascii="Arial" w:hAnsi="Arial" w:cs="Arial"/>
        </w:rPr>
        <w:t xml:space="preserve"> </w:t>
      </w:r>
      <w:r w:rsidR="004023A5">
        <w:rPr>
          <w:rFonts w:ascii="Arial" w:hAnsi="Arial" w:cs="Arial"/>
        </w:rPr>
        <w:t>l</w:t>
      </w:r>
      <w:r>
        <w:rPr>
          <w:rFonts w:ascii="Arial" w:hAnsi="Arial" w:cs="Arial"/>
        </w:rPr>
        <w:t>a</w:t>
      </w:r>
      <w:r w:rsidR="004023A5">
        <w:rPr>
          <w:rFonts w:ascii="Arial" w:hAnsi="Arial" w:cs="Arial"/>
        </w:rPr>
        <w:t xml:space="preserve"> Contador</w:t>
      </w:r>
      <w:r>
        <w:rPr>
          <w:rFonts w:ascii="Arial" w:hAnsi="Arial" w:cs="Arial"/>
        </w:rPr>
        <w:t>a</w:t>
      </w:r>
      <w:r w:rsidR="004023A5">
        <w:rPr>
          <w:rFonts w:ascii="Arial" w:hAnsi="Arial" w:cs="Arial"/>
        </w:rPr>
        <w:t xml:space="preserve"> Auditor</w:t>
      </w:r>
      <w:r>
        <w:rPr>
          <w:rFonts w:ascii="Arial" w:hAnsi="Arial" w:cs="Arial"/>
        </w:rPr>
        <w:t>a</w:t>
      </w:r>
      <w:r w:rsidR="004023A5">
        <w:rPr>
          <w:rFonts w:ascii="Arial" w:hAnsi="Arial" w:cs="Arial"/>
        </w:rPr>
        <w:t xml:space="preserve"> destacad</w:t>
      </w:r>
      <w:r>
        <w:rPr>
          <w:rFonts w:ascii="Arial" w:hAnsi="Arial" w:cs="Arial"/>
        </w:rPr>
        <w:t>a</w:t>
      </w:r>
      <w:r w:rsidR="004023A5">
        <w:rPr>
          <w:rFonts w:ascii="Arial" w:hAnsi="Arial" w:cs="Arial"/>
        </w:rPr>
        <w:t xml:space="preserve"> ante el Ministerio de Transporte y Obras Públicas;</w:t>
      </w:r>
      <w:r>
        <w:rPr>
          <w:rFonts w:ascii="Arial" w:hAnsi="Arial" w:cs="Arial"/>
        </w:rPr>
        <w:t xml:space="preserve"> y</w:t>
      </w:r>
    </w:p>
    <w:p w:rsidR="00A20317" w:rsidRDefault="00F61FE3" w:rsidP="00F61FE3">
      <w:pPr>
        <w:spacing w:line="360" w:lineRule="auto"/>
        <w:jc w:val="both"/>
        <w:rPr>
          <w:rFonts w:ascii="Arial" w:hAnsi="Arial" w:cs="Arial"/>
        </w:rPr>
      </w:pPr>
      <w:r w:rsidRPr="00F61FE3">
        <w:rPr>
          <w:rFonts w:ascii="Arial" w:hAnsi="Arial" w:cs="Arial"/>
          <w:b/>
        </w:rPr>
        <w:t>3)</w:t>
      </w:r>
      <w:r>
        <w:rPr>
          <w:rFonts w:ascii="Arial" w:hAnsi="Arial" w:cs="Arial"/>
        </w:rPr>
        <w:t xml:space="preserve"> </w:t>
      </w:r>
      <w:r w:rsidR="00392478">
        <w:rPr>
          <w:rFonts w:ascii="Arial" w:hAnsi="Arial" w:cs="Arial"/>
        </w:rPr>
        <w:t>Devolver las actuaciones.</w:t>
      </w:r>
      <w:bookmarkStart w:id="0" w:name="_GoBack"/>
      <w:bookmarkEnd w:id="0"/>
    </w:p>
    <w:p w:rsidR="00A20317" w:rsidRDefault="004023A5">
      <w:pPr>
        <w:spacing w:line="360" w:lineRule="auto"/>
        <w:jc w:val="both"/>
        <w:rPr>
          <w:rFonts w:ascii="Arial" w:hAnsi="Arial" w:cs="Arial"/>
        </w:rPr>
      </w:pPr>
      <w:r>
        <w:rPr>
          <w:rFonts w:ascii="Arial" w:hAnsi="Arial" w:cs="Arial"/>
        </w:rPr>
        <w:t xml:space="preserve"> </w:t>
      </w:r>
    </w:p>
    <w:p w:rsidR="00F61FE3" w:rsidRDefault="00F61FE3">
      <w:pPr>
        <w:spacing w:line="360" w:lineRule="auto"/>
        <w:jc w:val="both"/>
        <w:rPr>
          <w:rFonts w:ascii="Arial" w:hAnsi="Arial" w:cs="Arial"/>
        </w:rPr>
      </w:pPr>
    </w:p>
    <w:p w:rsidR="00F61FE3" w:rsidRDefault="00F61FE3">
      <w:pPr>
        <w:spacing w:line="360" w:lineRule="auto"/>
        <w:jc w:val="both"/>
        <w:rPr>
          <w:rFonts w:ascii="Arial" w:hAnsi="Arial" w:cs="Arial"/>
        </w:rPr>
      </w:pPr>
    </w:p>
    <w:p w:rsidR="00F61FE3" w:rsidRDefault="00F61FE3">
      <w:pPr>
        <w:spacing w:line="360" w:lineRule="auto"/>
        <w:jc w:val="both"/>
        <w:rPr>
          <w:rFonts w:ascii="Arial" w:hAnsi="Arial" w:cs="Arial"/>
        </w:rPr>
      </w:pPr>
    </w:p>
    <w:p w:rsidR="00F61FE3" w:rsidRDefault="00F61FE3">
      <w:pPr>
        <w:spacing w:line="360" w:lineRule="auto"/>
        <w:jc w:val="both"/>
        <w:rPr>
          <w:rFonts w:ascii="Arial" w:hAnsi="Arial" w:cs="Arial"/>
        </w:rPr>
      </w:pPr>
      <w:proofErr w:type="spellStart"/>
      <w:proofErr w:type="gramStart"/>
      <w:r>
        <w:rPr>
          <w:rFonts w:ascii="Arial" w:hAnsi="Arial" w:cs="Arial"/>
        </w:rPr>
        <w:t>cr</w:t>
      </w:r>
      <w:proofErr w:type="spellEnd"/>
      <w:proofErr w:type="gramEnd"/>
    </w:p>
    <w:sectPr w:rsidR="00F61FE3" w:rsidSect="00F61FE3">
      <w:pgSz w:w="11906" w:h="16838" w:code="9"/>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B7DB7"/>
    <w:multiLevelType w:val="singleLevel"/>
    <w:tmpl w:val="94D649FA"/>
    <w:lvl w:ilvl="0">
      <w:start w:val="1"/>
      <w:numFmt w:val="decimal"/>
      <w:lvlText w:val="%1)"/>
      <w:lvlJc w:val="left"/>
      <w:pPr>
        <w:tabs>
          <w:tab w:val="num" w:pos="360"/>
        </w:tabs>
        <w:ind w:left="360" w:hanging="360"/>
      </w:pPr>
      <w:rPr>
        <w:rFonts w:hint="default"/>
        <w:b/>
      </w:rPr>
    </w:lvl>
  </w:abstractNum>
  <w:abstractNum w:abstractNumId="1">
    <w:nsid w:val="604B57F2"/>
    <w:multiLevelType w:val="hybridMultilevel"/>
    <w:tmpl w:val="5210ADDA"/>
    <w:lvl w:ilvl="0" w:tplc="0C0A0011">
      <w:start w:val="1"/>
      <w:numFmt w:val="decimal"/>
      <w:lvlText w:val="%1)"/>
      <w:lvlJc w:val="left"/>
      <w:pPr>
        <w:tabs>
          <w:tab w:val="num" w:pos="600"/>
        </w:tabs>
        <w:ind w:left="60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55D"/>
    <w:rsid w:val="00392478"/>
    <w:rsid w:val="004023A5"/>
    <w:rsid w:val="00410FEB"/>
    <w:rsid w:val="0041288E"/>
    <w:rsid w:val="005A140D"/>
    <w:rsid w:val="007472AD"/>
    <w:rsid w:val="007C255D"/>
    <w:rsid w:val="008816F7"/>
    <w:rsid w:val="00991D81"/>
    <w:rsid w:val="00A20317"/>
    <w:rsid w:val="00F600E4"/>
    <w:rsid w:val="00F61FE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spacing w:line="360" w:lineRule="auto"/>
      <w:jc w:val="center"/>
      <w:outlineLvl w:val="0"/>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line="360" w:lineRule="auto"/>
      <w:jc w:val="both"/>
    </w:pPr>
    <w:rPr>
      <w:rFonts w:ascii="Arial" w:hAnsi="Arial" w:cs="Arial"/>
    </w:rPr>
  </w:style>
  <w:style w:type="paragraph" w:styleId="Sangradetextonormal">
    <w:name w:val="Body Text Indent"/>
    <w:basedOn w:val="Normal"/>
    <w:semiHidden/>
    <w:pPr>
      <w:spacing w:line="360" w:lineRule="auto"/>
      <w:ind w:firstLine="2160"/>
      <w:jc w:val="both"/>
    </w:pPr>
    <w:rPr>
      <w:rFonts w:ascii="Arial" w:hAnsi="Arial" w:cs="Arial"/>
      <w:spacing w:val="-3"/>
      <w:lang w:val="es-ES_tradnl"/>
    </w:rPr>
  </w:style>
  <w:style w:type="paragraph" w:styleId="Sangra2detindependiente">
    <w:name w:val="Body Text Indent 2"/>
    <w:basedOn w:val="Normal"/>
    <w:semiHidden/>
    <w:pPr>
      <w:spacing w:line="360" w:lineRule="auto"/>
      <w:ind w:firstLine="2160"/>
      <w:jc w:val="both"/>
    </w:pPr>
    <w:rPr>
      <w:rFonts w:ascii="Arial" w:hAnsi="Arial" w:cs="Arial"/>
      <w:color w:val="000000"/>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spacing w:line="360" w:lineRule="auto"/>
      <w:jc w:val="center"/>
      <w:outlineLvl w:val="0"/>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line="360" w:lineRule="auto"/>
      <w:jc w:val="both"/>
    </w:pPr>
    <w:rPr>
      <w:rFonts w:ascii="Arial" w:hAnsi="Arial" w:cs="Arial"/>
    </w:rPr>
  </w:style>
  <w:style w:type="paragraph" w:styleId="Sangradetextonormal">
    <w:name w:val="Body Text Indent"/>
    <w:basedOn w:val="Normal"/>
    <w:semiHidden/>
    <w:pPr>
      <w:spacing w:line="360" w:lineRule="auto"/>
      <w:ind w:firstLine="2160"/>
      <w:jc w:val="both"/>
    </w:pPr>
    <w:rPr>
      <w:rFonts w:ascii="Arial" w:hAnsi="Arial" w:cs="Arial"/>
      <w:spacing w:val="-3"/>
      <w:lang w:val="es-ES_tradnl"/>
    </w:rPr>
  </w:style>
  <w:style w:type="paragraph" w:styleId="Sangra2detindependiente">
    <w:name w:val="Body Text Indent 2"/>
    <w:basedOn w:val="Normal"/>
    <w:semiHidden/>
    <w:pPr>
      <w:spacing w:line="360" w:lineRule="auto"/>
      <w:ind w:firstLine="2160"/>
      <w:jc w:val="both"/>
    </w:pPr>
    <w:rPr>
      <w:rFonts w:ascii="Arial" w:hAnsi="Arial" w:cs="Arial"/>
      <w:color w:val="000000"/>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1183</Words>
  <Characters>6343</Characters>
  <Application>Microsoft Office Word</Application>
  <DocSecurity>0</DocSecurity>
  <Lines>52</Lines>
  <Paragraphs>15</Paragraphs>
  <ScaleCrop>false</ScaleCrop>
  <HeadingPairs>
    <vt:vector size="2" baseType="variant">
      <vt:variant>
        <vt:lpstr>Título</vt:lpstr>
      </vt:variant>
      <vt:variant>
        <vt:i4>1</vt:i4>
      </vt:variant>
    </vt:vector>
  </HeadingPairs>
  <TitlesOfParts>
    <vt:vector size="1" baseType="lpstr">
      <vt:lpstr>CARPETA Nº 237254</vt:lpstr>
    </vt:vector>
  </TitlesOfParts>
  <Company/>
  <LinksUpToDate>false</LinksUpToDate>
  <CharactersWithSpaces>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237254</dc:title>
  <dc:subject/>
  <dc:creator>Tribunal1</dc:creator>
  <cp:keywords/>
  <dc:description/>
  <cp:lastModifiedBy>tribunal1</cp:lastModifiedBy>
  <cp:revision>9</cp:revision>
  <cp:lastPrinted>2014-01-13T14:35:00Z</cp:lastPrinted>
  <dcterms:created xsi:type="dcterms:W3CDTF">2014-01-13T14:35:00Z</dcterms:created>
  <dcterms:modified xsi:type="dcterms:W3CDTF">2014-01-14T11:58:00Z</dcterms:modified>
</cp:coreProperties>
</file>