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44" w:rsidRDefault="008B524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B5244" w:rsidRDefault="008B524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B5244" w:rsidRDefault="008B524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B5244" w:rsidRDefault="008B524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B5244" w:rsidRDefault="008B524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15 DE ENERO  DE  2014</w:t>
      </w:r>
    </w:p>
    <w:p w:rsidR="008B5244" w:rsidRDefault="008B524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B5244" w:rsidRPr="008B5244" w:rsidRDefault="008B5244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8B5244">
        <w:rPr>
          <w:rFonts w:ascii="Helvetica" w:hAnsi="Helvetica"/>
          <w:b/>
        </w:rPr>
        <w:t>(E. E. Nº 2012-17-1-0000879, Ent. N° 7317/13.)</w:t>
      </w:r>
    </w:p>
    <w:p w:rsidR="008B5244" w:rsidRPr="008B5244" w:rsidRDefault="008B5244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8B5244" w:rsidRPr="008B5244" w:rsidRDefault="008B5244">
      <w:pPr>
        <w:tabs>
          <w:tab w:val="center" w:pos="4253"/>
        </w:tabs>
        <w:suppressAutoHyphens/>
        <w:rPr>
          <w:rFonts w:ascii="Arial" w:hAnsi="Arial"/>
          <w:spacing w:val="-3"/>
        </w:rPr>
      </w:pPr>
    </w:p>
    <w:p w:rsidR="00000000" w:rsidRDefault="008B5244">
      <w:pPr>
        <w:suppressAutoHyphens/>
        <w:spacing w:line="360" w:lineRule="auto"/>
        <w:ind w:firstLine="708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</w:rPr>
        <w:t>V</w:t>
      </w:r>
      <w:r w:rsidR="00D63F9E">
        <w:rPr>
          <w:rFonts w:ascii="Arial" w:hAnsi="Arial" w:cs="Arial"/>
          <w:b/>
          <w:bCs/>
        </w:rPr>
        <w:t xml:space="preserve">ISTO: </w:t>
      </w:r>
      <w:r w:rsidR="00D63F9E">
        <w:rPr>
          <w:rFonts w:ascii="Arial" w:hAnsi="Arial" w:cs="Arial"/>
          <w:bCs/>
        </w:rPr>
        <w:t xml:space="preserve">las actuaciones </w:t>
      </w:r>
      <w:r w:rsidR="00D63F9E">
        <w:rPr>
          <w:rFonts w:ascii="Arial" w:hAnsi="Arial" w:cs="Arial"/>
        </w:rPr>
        <w:t>remitidas por la la Intendencia de Maldonado, relacionadas con la prórroga de la L</w:t>
      </w:r>
      <w:r w:rsidR="00D63F9E">
        <w:rPr>
          <w:rFonts w:ascii="Arial" w:hAnsi="Arial" w:cs="Arial"/>
          <w:lang w:val="es-MX"/>
        </w:rPr>
        <w:t xml:space="preserve">icitación Abreviada </w:t>
      </w:r>
      <w:r w:rsidR="00D63F9E">
        <w:rPr>
          <w:rFonts w:ascii="Arial" w:hAnsi="Arial" w:cs="Arial"/>
          <w:lang w:val="es-MX"/>
        </w:rPr>
        <w:t>Nº 64</w:t>
      </w:r>
      <w:r w:rsidR="00D63F9E">
        <w:rPr>
          <w:rFonts w:ascii="Arial" w:hAnsi="Arial" w:cs="Arial"/>
          <w:lang w:val="es-MX"/>
        </w:rPr>
        <w:t xml:space="preserve">/10, </w:t>
      </w:r>
      <w:r w:rsidR="00D63F9E">
        <w:rPr>
          <w:rFonts w:ascii="Arial" w:hAnsi="Arial" w:cs="Arial"/>
          <w:bCs/>
          <w:lang w:val="es-MX"/>
        </w:rPr>
        <w:t>para la explotación comercial de un parador en Parada 31 de Playa Mansa de Punta del Este;</w:t>
      </w:r>
    </w:p>
    <w:p w:rsidR="00000000" w:rsidRDefault="00D63F9E">
      <w:pPr>
        <w:pStyle w:val="Textoindependiente"/>
        <w:ind w:firstLine="708"/>
      </w:pPr>
      <w:r>
        <w:rPr>
          <w:b/>
        </w:rPr>
        <w:t xml:space="preserve">RESULTANDO: </w:t>
      </w:r>
      <w:r>
        <w:rPr>
          <w:b/>
        </w:rPr>
        <w:t>1)</w:t>
      </w:r>
      <w:r>
        <w:t xml:space="preserve"> </w:t>
      </w:r>
      <w:r>
        <w:t xml:space="preserve">que mediante Resoluciones Nos. 08961/2010 y 09143/2010 de fechas 16/12/10 y 21/12/10 respectivamente, en uso de facultades delegadas, el </w:t>
      </w:r>
      <w:r>
        <w:t xml:space="preserve">Director General de Hacienda, dispuso la adjudicación de la citada licitación a Gladimir Ismael Valladarez; </w:t>
      </w:r>
    </w:p>
    <w:p w:rsidR="00000000" w:rsidRDefault="00D63F9E" w:rsidP="008B5244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 que, este Tribunal, en Sesión de fecha 21/7/11, acordó observar el procedimiento, en mérito a que se contravino la Resolución del 11.05.05,</w:t>
      </w:r>
      <w:r>
        <w:rPr>
          <w:rFonts w:ascii="Arial" w:hAnsi="Arial" w:cs="Arial"/>
        </w:rPr>
        <w:t xml:space="preserve"> en la redacción dada por la Resolución del 28.03.07. Dicho procedimiento fue reiterado por la Intendencia y la observación mantenida por el Tribunal en sesión del 27/7/11; </w:t>
      </w:r>
    </w:p>
    <w:p w:rsidR="00000000" w:rsidRDefault="00D63F9E" w:rsidP="008B5244">
      <w:pPr>
        <w:pStyle w:val="Textoindependiente"/>
        <w:ind w:firstLine="2694"/>
      </w:pPr>
      <w:r>
        <w:rPr>
          <w:b/>
          <w:bCs/>
          <w:spacing w:val="-3"/>
          <w:lang w:val="es-ES_tradnl"/>
        </w:rPr>
        <w:t xml:space="preserve">3) </w:t>
      </w:r>
      <w:r>
        <w:t>que la Dirección General de Hacienda</w:t>
      </w:r>
      <w:r>
        <w:t>, por Resolución 16/08/2011, dispuso la primera prórroga de la Licitación 64/10, hasta el último domingo de Turismo del año 2012, notificándose dicha Resolución via fax a la firma Gladimir Ismael Valladarez;</w:t>
      </w:r>
    </w:p>
    <w:p w:rsidR="00000000" w:rsidRDefault="00D63F9E">
      <w:pPr>
        <w:pStyle w:val="Textoindependiente"/>
      </w:pPr>
      <w:r>
        <w:t xml:space="preserve">                                           </w:t>
      </w:r>
      <w:r w:rsidR="00E471F2">
        <w:t xml:space="preserve"> </w:t>
      </w:r>
      <w:r w:rsidR="008B5244">
        <w:t xml:space="preserve"> </w:t>
      </w:r>
      <w:r>
        <w:rPr>
          <w:b/>
        </w:rPr>
        <w:t xml:space="preserve">4) </w:t>
      </w:r>
      <w:r>
        <w:t>q</w:t>
      </w:r>
      <w:r>
        <w:t xml:space="preserve">ue, este Tribunal, en Sesión de fecha 17 de octubre de 2012, acordó observar el procedimiento en mérito a que se contravino la Resolución del 11/05/05, en la redacción dada </w:t>
      </w:r>
      <w:r w:rsidR="00E471F2">
        <w:t xml:space="preserve">en fecha </w:t>
      </w:r>
      <w:r>
        <w:t xml:space="preserve"> 28/03/07, en tanto los antecedentes se remitieron luego que la a</w:t>
      </w:r>
      <w:r>
        <w:t>djudicación se dispuso y notificó al adjudicatario;</w:t>
      </w:r>
    </w:p>
    <w:p w:rsidR="00000000" w:rsidRDefault="00E471F2" w:rsidP="00E471F2">
      <w:pPr>
        <w:pStyle w:val="Textoindependiente"/>
        <w:ind w:firstLine="2694"/>
      </w:pPr>
      <w:r>
        <w:rPr>
          <w:b/>
        </w:rPr>
        <w:lastRenderedPageBreak/>
        <w:t xml:space="preserve"> </w:t>
      </w:r>
      <w:r w:rsidR="00D63F9E">
        <w:rPr>
          <w:b/>
        </w:rPr>
        <w:t xml:space="preserve">5) </w:t>
      </w:r>
      <w:r w:rsidR="00D63F9E">
        <w:t xml:space="preserve">que por Resolución No. 07890/2012 del 07/11/2012, el Intendente de Maldonado reiteró el procedimiento. Este Tribunal </w:t>
      </w:r>
      <w:r w:rsidR="00D63F9E">
        <w:t xml:space="preserve">en </w:t>
      </w:r>
      <w:r>
        <w:t>S</w:t>
      </w:r>
      <w:r w:rsidR="00D63F9E">
        <w:t>esión de fecha 27/12/2012, acordó estar a lo d</w:t>
      </w:r>
      <w:r w:rsidR="00D63F9E">
        <w:t xml:space="preserve">ispuesto en sesión de 17/10/2012  considerando que al tratarse de un canon no resulta de aplicación  lo dispuesto por el Artículo 211 </w:t>
      </w:r>
      <w:r>
        <w:t>L</w:t>
      </w:r>
      <w:r w:rsidR="00D63F9E">
        <w:t>iteral B) de la Constitución de la República, ni el Art</w:t>
      </w:r>
      <w:r>
        <w:t>ículo</w:t>
      </w:r>
      <w:r w:rsidR="00D63F9E">
        <w:t xml:space="preserve"> 97 del TOCAF, normas previstas para gastos y pagos y que no se p</w:t>
      </w:r>
      <w:r w:rsidR="00D63F9E">
        <w:t>ueden extender en forma analógica a casos que refieren a ingresos;</w:t>
      </w:r>
    </w:p>
    <w:p w:rsidR="00000000" w:rsidRDefault="00E471F2" w:rsidP="00E471F2">
      <w:pPr>
        <w:pStyle w:val="Textoindependiente"/>
        <w:ind w:firstLine="2694"/>
      </w:pPr>
      <w:r>
        <w:t xml:space="preserve">  </w:t>
      </w:r>
      <w:r w:rsidR="00D63F9E">
        <w:rPr>
          <w:b/>
        </w:rPr>
        <w:t xml:space="preserve">6) </w:t>
      </w:r>
      <w:r w:rsidR="00D63F9E">
        <w:t>que por Resolución No. 05396/2012 de fecha 13/08/12, el Director General de Hacienda dispuso una segunda prórroga de la Licitación Abreviada No. 64/10, ha</w:t>
      </w:r>
      <w:r w:rsidR="00D63F9E">
        <w:t>sta el último domingo de Turismo del año 2013, notificándose dicha resolución via fax a la firma Gladimir Ismael Valladarez;</w:t>
      </w:r>
    </w:p>
    <w:p w:rsidR="00000000" w:rsidRDefault="00D63F9E" w:rsidP="00E471F2">
      <w:pPr>
        <w:pStyle w:val="Textoindependiente"/>
        <w:ind w:firstLine="2835"/>
      </w:pPr>
      <w:r>
        <w:rPr>
          <w:b/>
          <w:bCs/>
        </w:rPr>
        <w:t xml:space="preserve">7) </w:t>
      </w:r>
      <w:r>
        <w:t>que</w:t>
      </w:r>
      <w:r>
        <w:t xml:space="preserve">, este Tribunal, en Sesión de fecha 6 de febrero de 2013, acordó observar el procedimiento en mérito a que se contravino </w:t>
      </w:r>
      <w:r>
        <w:t>la Resolución del 11/05/05, en la redacción dada por Resolución del 28/03/07, en tanto los antecedentes se remitieron luego que la adjudicación se dispuso y notificó al adjudicatario;</w:t>
      </w:r>
    </w:p>
    <w:p w:rsidR="00000000" w:rsidRDefault="00D63F9E" w:rsidP="00E471F2">
      <w:pPr>
        <w:pStyle w:val="Textoindependiente"/>
        <w:ind w:firstLine="2835"/>
        <w:rPr>
          <w:lang w:val="es-UY"/>
        </w:rPr>
      </w:pPr>
      <w:r w:rsidRPr="00E471F2">
        <w:rPr>
          <w:b/>
          <w:bCs/>
          <w:spacing w:val="-14"/>
        </w:rPr>
        <w:t xml:space="preserve">8) </w:t>
      </w:r>
      <w:r w:rsidRPr="00E471F2">
        <w:rPr>
          <w:spacing w:val="-14"/>
        </w:rPr>
        <w:t>que en la oportunidad, por Resolución No.</w:t>
      </w:r>
      <w:r>
        <w:t xml:space="preserve"> 10155/2013 de fecha 13/1</w:t>
      </w:r>
      <w:r>
        <w:t xml:space="preserve">2/13, el Director de Hacienda dispuso una tercera prórroga de la Licitación Abreviada No. 64/10, hasta el último domingo de Turismo del año 2014, a la firma Gladimir Ismael Valladarez;          </w:t>
      </w:r>
    </w:p>
    <w:p w:rsidR="00E471F2" w:rsidRDefault="00D63F9E" w:rsidP="00E471F2">
      <w:pPr>
        <w:spacing w:line="360" w:lineRule="auto"/>
        <w:ind w:firstLine="709"/>
        <w:jc w:val="both"/>
        <w:rPr>
          <w:rFonts w:ascii="Arial" w:hAnsi="Arial" w:cs="Arial"/>
          <w:bCs/>
          <w:szCs w:val="20"/>
          <w:lang w:val="es-MX"/>
        </w:rPr>
      </w:pPr>
      <w:r>
        <w:rPr>
          <w:rFonts w:ascii="Arial" w:hAnsi="Arial" w:cs="Arial"/>
          <w:b/>
          <w:bCs/>
          <w:color w:val="000000"/>
        </w:rPr>
        <w:t>CONSIDERANDO:</w:t>
      </w:r>
      <w:r>
        <w:rPr>
          <w:rFonts w:ascii="Arial" w:hAnsi="Arial" w:cs="Arial"/>
          <w:b/>
          <w:bCs/>
          <w:szCs w:val="20"/>
        </w:rPr>
        <w:t xml:space="preserve"> 1) </w:t>
      </w:r>
      <w:r>
        <w:rPr>
          <w:rFonts w:ascii="Arial" w:hAnsi="Arial" w:cs="Arial"/>
          <w:szCs w:val="20"/>
        </w:rPr>
        <w:t xml:space="preserve">que </w:t>
      </w:r>
      <w:r>
        <w:rPr>
          <w:rFonts w:ascii="Arial" w:hAnsi="Arial" w:cs="Arial"/>
          <w:bCs/>
          <w:szCs w:val="20"/>
          <w:lang w:val="es-MX"/>
        </w:rPr>
        <w:t xml:space="preserve"> la prórroga, se realiza de conformidad</w:t>
      </w:r>
      <w:r>
        <w:rPr>
          <w:rFonts w:ascii="Arial" w:hAnsi="Arial" w:cs="Arial"/>
          <w:bCs/>
          <w:szCs w:val="20"/>
          <w:lang w:val="es-MX"/>
        </w:rPr>
        <w:t xml:space="preserve"> con lo dispuesto en el Pliego, </w:t>
      </w:r>
      <w:r>
        <w:rPr>
          <w:rFonts w:ascii="Arial" w:hAnsi="Arial" w:cs="Arial"/>
          <w:szCs w:val="20"/>
        </w:rPr>
        <w:t>que rigió el llamado</w:t>
      </w:r>
      <w:r>
        <w:rPr>
          <w:rFonts w:ascii="Arial" w:hAnsi="Arial" w:cs="Arial"/>
          <w:bCs/>
          <w:szCs w:val="20"/>
          <w:lang w:val="es-MX"/>
        </w:rPr>
        <w:t>, que establece que la concesión es prorrogable a opción de la Intendencia</w:t>
      </w:r>
      <w:r>
        <w:rPr>
          <w:rFonts w:ascii="Arial" w:hAnsi="Arial" w:cs="Arial"/>
          <w:bCs/>
          <w:szCs w:val="20"/>
          <w:lang w:val="es-MX"/>
        </w:rPr>
        <w:t>, por períodos de un año sucesivamente, hasta la finalización del actual período de Gobierno;</w:t>
      </w:r>
    </w:p>
    <w:p w:rsidR="00000000" w:rsidRDefault="00D63F9E" w:rsidP="00E471F2">
      <w:pPr>
        <w:spacing w:line="360" w:lineRule="auto"/>
        <w:ind w:firstLine="2835"/>
        <w:jc w:val="both"/>
        <w:rPr>
          <w:rFonts w:ascii="Arial" w:hAnsi="Arial" w:cs="Arial"/>
          <w:bCs/>
          <w:szCs w:val="20"/>
          <w:lang w:val="es-MX"/>
        </w:rPr>
      </w:pPr>
      <w:r>
        <w:rPr>
          <w:rFonts w:ascii="Arial" w:hAnsi="Arial" w:cs="Arial"/>
          <w:b/>
          <w:bCs/>
          <w:szCs w:val="20"/>
          <w:lang w:val="es-MX"/>
        </w:rPr>
        <w:t>2)</w:t>
      </w:r>
      <w:r>
        <w:rPr>
          <w:rFonts w:ascii="Arial" w:hAnsi="Arial" w:cs="Arial"/>
          <w:bCs/>
          <w:szCs w:val="20"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 xml:space="preserve">que no obstante, </w:t>
      </w:r>
      <w:r>
        <w:rPr>
          <w:rFonts w:ascii="Arial" w:hAnsi="Arial" w:cs="Arial"/>
          <w:bCs/>
        </w:rPr>
        <w:t>la misma deriva de contrataciones, oportunamente observadas, por razones de procedimiento insubsanables, que la afectan;</w:t>
      </w:r>
    </w:p>
    <w:p w:rsidR="00000000" w:rsidRDefault="00D63F9E">
      <w:pPr>
        <w:spacing w:line="360" w:lineRule="auto"/>
        <w:ind w:firstLine="851"/>
        <w:jc w:val="both"/>
        <w:rPr>
          <w:rFonts w:ascii="Arial" w:hAnsi="Arial" w:cs="Arial"/>
          <w:bCs/>
          <w:szCs w:val="20"/>
          <w:lang w:val="es-MX"/>
        </w:rPr>
      </w:pPr>
      <w:r>
        <w:rPr>
          <w:rFonts w:ascii="Arial" w:hAnsi="Arial" w:cs="Arial"/>
          <w:b/>
          <w:szCs w:val="20"/>
          <w:lang w:val="es-MX"/>
        </w:rPr>
        <w:lastRenderedPageBreak/>
        <w:t>ATENTO:</w:t>
      </w:r>
      <w:r>
        <w:rPr>
          <w:rFonts w:ascii="Arial" w:hAnsi="Arial" w:cs="Arial"/>
          <w:bCs/>
          <w:szCs w:val="20"/>
          <w:lang w:val="es-MX"/>
        </w:rPr>
        <w:t xml:space="preserve"> a lo precedentemente expuesto y a lo dispuesto por el Artículo 211 Literal E) de la Constitución de l</w:t>
      </w:r>
      <w:r>
        <w:rPr>
          <w:rFonts w:ascii="Arial" w:hAnsi="Arial" w:cs="Arial"/>
          <w:bCs/>
          <w:szCs w:val="20"/>
          <w:lang w:val="es-MX"/>
        </w:rPr>
        <w:t>a República;</w:t>
      </w:r>
    </w:p>
    <w:p w:rsidR="00000000" w:rsidRDefault="00D63F9E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szCs w:val="20"/>
          <w:lang w:val="es-MX"/>
        </w:rPr>
      </w:pPr>
      <w:r>
        <w:rPr>
          <w:rFonts w:ascii="Arial" w:hAnsi="Arial" w:cs="Arial"/>
          <w:b/>
          <w:bCs/>
          <w:szCs w:val="20"/>
          <w:lang w:val="es-MX"/>
        </w:rPr>
        <w:t>EL TRIBUNAL ACUERDA</w:t>
      </w:r>
    </w:p>
    <w:p w:rsidR="00000000" w:rsidRDefault="00E471F2" w:rsidP="00E471F2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E471F2">
        <w:rPr>
          <w:rFonts w:ascii="Arial" w:hAnsi="Arial" w:cs="Arial"/>
          <w:b/>
          <w:bCs/>
          <w:lang w:val="es-MX"/>
        </w:rPr>
        <w:t>1)</w:t>
      </w:r>
      <w:r>
        <w:rPr>
          <w:rFonts w:ascii="Arial" w:hAnsi="Arial" w:cs="Arial"/>
          <w:bCs/>
          <w:lang w:val="es-MX"/>
        </w:rPr>
        <w:t xml:space="preserve">   </w:t>
      </w:r>
      <w:r w:rsidR="00D63F9E">
        <w:rPr>
          <w:rFonts w:ascii="Arial" w:hAnsi="Arial" w:cs="Arial"/>
          <w:bCs/>
          <w:lang w:val="es-MX"/>
        </w:rPr>
        <w:t>Observar el procedimiento por lo expuesto en el considerando 2);</w:t>
      </w:r>
    </w:p>
    <w:p w:rsidR="00000000" w:rsidRDefault="00E471F2" w:rsidP="00E471F2">
      <w:pPr>
        <w:spacing w:line="360" w:lineRule="auto"/>
        <w:ind w:left="426" w:hanging="426"/>
        <w:jc w:val="both"/>
        <w:rPr>
          <w:rFonts w:ascii="Arial" w:hAnsi="Arial" w:cs="Arial"/>
          <w:bCs/>
          <w:lang w:val="es-MX"/>
        </w:rPr>
      </w:pPr>
      <w:r w:rsidRPr="00E471F2">
        <w:rPr>
          <w:rFonts w:ascii="Arial" w:hAnsi="Arial" w:cs="Arial"/>
          <w:b/>
          <w:bCs/>
          <w:lang w:val="es-MX"/>
        </w:rPr>
        <w:t>2)</w:t>
      </w:r>
      <w:r>
        <w:rPr>
          <w:rFonts w:ascii="Arial" w:hAnsi="Arial" w:cs="Arial"/>
          <w:bCs/>
          <w:lang w:val="es-MX"/>
        </w:rPr>
        <w:t xml:space="preserve"> </w:t>
      </w:r>
      <w:r w:rsidR="00D63F9E">
        <w:rPr>
          <w:rFonts w:ascii="Arial" w:hAnsi="Arial" w:cs="Arial"/>
          <w:bCs/>
          <w:lang w:val="es-MX"/>
        </w:rPr>
        <w:t xml:space="preserve"> </w:t>
      </w:r>
      <w:bookmarkStart w:id="0" w:name="_GoBack"/>
      <w:bookmarkEnd w:id="0"/>
      <w:r w:rsidR="00D63F9E">
        <w:rPr>
          <w:rFonts w:ascii="Arial" w:hAnsi="Arial" w:cs="Arial"/>
          <w:bCs/>
          <w:lang w:val="es-MX"/>
        </w:rPr>
        <w:t>Si</w:t>
      </w:r>
      <w:r w:rsidR="00D63F9E">
        <w:rPr>
          <w:rFonts w:ascii="Arial" w:hAnsi="Arial" w:cs="Arial"/>
          <w:bCs/>
          <w:lang w:val="es-MX"/>
        </w:rPr>
        <w:t xml:space="preserve"> la Administración actuante prosigue</w:t>
      </w:r>
      <w:r w:rsidR="00D63F9E">
        <w:rPr>
          <w:rFonts w:ascii="Arial" w:hAnsi="Arial" w:cs="Arial"/>
          <w:bCs/>
          <w:lang w:val="es-MX"/>
        </w:rPr>
        <w:t xml:space="preserve"> bajo su responsabilidad, con el procedimiento que se observa, cometer al Contador Delegado el control de </w:t>
      </w:r>
      <w:r w:rsidR="00D63F9E">
        <w:rPr>
          <w:rFonts w:ascii="Arial" w:hAnsi="Arial" w:cs="Arial"/>
          <w:bCs/>
          <w:lang w:val="es-MX"/>
        </w:rPr>
        <w:t xml:space="preserve">la efectiva versión del canon, con los ajustes correspondientes, en el Rubro adecuado; </w:t>
      </w:r>
    </w:p>
    <w:p w:rsidR="00000000" w:rsidRDefault="00D63F9E" w:rsidP="00D63F9E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D63F9E">
        <w:rPr>
          <w:rFonts w:ascii="Arial" w:hAnsi="Arial" w:cs="Arial"/>
          <w:b/>
          <w:bCs/>
          <w:lang w:val="es-MX"/>
        </w:rPr>
        <w:t>3)</w:t>
      </w:r>
      <w:r>
        <w:rPr>
          <w:rFonts w:ascii="Arial" w:hAnsi="Arial" w:cs="Arial"/>
          <w:bCs/>
          <w:lang w:val="es-MX"/>
        </w:rPr>
        <w:t xml:space="preserve">  </w:t>
      </w:r>
      <w:r>
        <w:rPr>
          <w:rFonts w:ascii="Arial" w:hAnsi="Arial" w:cs="Arial"/>
          <w:bCs/>
          <w:lang w:val="es-MX"/>
        </w:rPr>
        <w:t>Comunicar al Contador Delegado;</w:t>
      </w:r>
    </w:p>
    <w:p w:rsidR="00000000" w:rsidRDefault="00D63F9E" w:rsidP="00D63F9E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D63F9E">
        <w:rPr>
          <w:rFonts w:ascii="Arial" w:hAnsi="Arial" w:cs="Arial"/>
          <w:b/>
          <w:bCs/>
          <w:lang w:val="es-MX"/>
        </w:rPr>
        <w:t>4)</w:t>
      </w:r>
      <w:r>
        <w:rPr>
          <w:rFonts w:ascii="Arial" w:hAnsi="Arial" w:cs="Arial"/>
          <w:bCs/>
          <w:lang w:val="es-MX"/>
        </w:rPr>
        <w:t xml:space="preserve">  </w:t>
      </w:r>
      <w:r>
        <w:rPr>
          <w:rFonts w:ascii="Arial" w:hAnsi="Arial" w:cs="Arial"/>
          <w:bCs/>
          <w:lang w:val="es-MX"/>
        </w:rPr>
        <w:t>Dar cuenta a la Junta Departamental de Maldonado; y</w:t>
      </w:r>
    </w:p>
    <w:p w:rsidR="00000000" w:rsidRDefault="00D63F9E" w:rsidP="00D63F9E">
      <w:pPr>
        <w:spacing w:line="360" w:lineRule="auto"/>
        <w:jc w:val="both"/>
        <w:rPr>
          <w:rFonts w:ascii="Arial" w:hAnsi="Arial" w:cs="Arial"/>
          <w:bCs/>
        </w:rPr>
      </w:pPr>
      <w:r w:rsidRPr="00D63F9E">
        <w:rPr>
          <w:rFonts w:ascii="Arial" w:hAnsi="Arial" w:cs="Arial"/>
          <w:b/>
          <w:bCs/>
          <w:lang w:val="es-MX"/>
        </w:rPr>
        <w:t>5)</w:t>
      </w:r>
      <w:r>
        <w:rPr>
          <w:rFonts w:ascii="Arial" w:hAnsi="Arial" w:cs="Arial"/>
          <w:bCs/>
          <w:lang w:val="es-MX"/>
        </w:rPr>
        <w:t xml:space="preserve">  </w:t>
      </w:r>
      <w:r>
        <w:rPr>
          <w:rFonts w:ascii="Arial" w:hAnsi="Arial" w:cs="Arial"/>
          <w:bCs/>
          <w:lang w:val="es-MX"/>
        </w:rPr>
        <w:t>Devolver los antecedentes</w:t>
      </w:r>
      <w:r>
        <w:rPr>
          <w:rFonts w:ascii="Arial" w:hAnsi="Arial" w:cs="Arial"/>
          <w:bCs/>
          <w:lang w:val="es-MX"/>
        </w:rPr>
        <w:t>.</w:t>
      </w:r>
      <w:r>
        <w:rPr>
          <w:rFonts w:ascii="Arial" w:hAnsi="Arial" w:cs="Arial"/>
          <w:bCs/>
        </w:rPr>
        <w:t xml:space="preserve"> </w:t>
      </w:r>
    </w:p>
    <w:p w:rsidR="00D63F9E" w:rsidRDefault="00D63F9E" w:rsidP="00D63F9E">
      <w:pPr>
        <w:spacing w:line="360" w:lineRule="auto"/>
        <w:jc w:val="both"/>
        <w:rPr>
          <w:rFonts w:ascii="Arial" w:hAnsi="Arial" w:cs="Arial"/>
          <w:bCs/>
        </w:rPr>
      </w:pPr>
    </w:p>
    <w:p w:rsidR="00D63F9E" w:rsidRDefault="00D63F9E" w:rsidP="00D63F9E">
      <w:pPr>
        <w:spacing w:line="360" w:lineRule="auto"/>
        <w:jc w:val="both"/>
        <w:rPr>
          <w:rFonts w:ascii="Arial" w:hAnsi="Arial" w:cs="Arial"/>
          <w:bCs/>
        </w:rPr>
      </w:pPr>
    </w:p>
    <w:p w:rsidR="00D63F9E" w:rsidRDefault="00D63F9E" w:rsidP="00D63F9E">
      <w:pPr>
        <w:spacing w:line="360" w:lineRule="auto"/>
        <w:jc w:val="both"/>
        <w:rPr>
          <w:rFonts w:ascii="Arial" w:hAnsi="Arial" w:cs="Arial"/>
          <w:bCs/>
        </w:rPr>
      </w:pPr>
    </w:p>
    <w:p w:rsidR="00D63F9E" w:rsidRDefault="00D63F9E" w:rsidP="00D63F9E">
      <w:pPr>
        <w:spacing w:line="360" w:lineRule="auto"/>
        <w:jc w:val="both"/>
        <w:rPr>
          <w:rFonts w:ascii="Arial" w:hAnsi="Arial" w:cs="Arial"/>
          <w:bCs/>
        </w:rPr>
      </w:pPr>
    </w:p>
    <w:p w:rsidR="00D63F9E" w:rsidRDefault="00D63F9E" w:rsidP="00D63F9E">
      <w:pPr>
        <w:spacing w:line="360" w:lineRule="auto"/>
        <w:jc w:val="both"/>
        <w:rPr>
          <w:rFonts w:ascii="Arial" w:hAnsi="Arial" w:cs="Arial"/>
          <w:bCs/>
        </w:rPr>
      </w:pPr>
    </w:p>
    <w:p w:rsidR="00D63F9E" w:rsidRDefault="00D63F9E" w:rsidP="00D63F9E">
      <w:pPr>
        <w:spacing w:line="360" w:lineRule="auto"/>
        <w:jc w:val="both"/>
        <w:rPr>
          <w:rFonts w:ascii="Arial" w:hAnsi="Arial" w:cs="Arial"/>
          <w:bCs/>
        </w:rPr>
      </w:pPr>
    </w:p>
    <w:p w:rsidR="00D63F9E" w:rsidRDefault="00D63F9E" w:rsidP="00D63F9E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</w:t>
      </w:r>
    </w:p>
    <w:sectPr w:rsidR="00D63F9E" w:rsidSect="00D63F9E">
      <w:footerReference w:type="even" r:id="rId8"/>
      <w:footerReference w:type="default" r:id="rId9"/>
      <w:pgSz w:w="11907" w:h="16840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3F9E">
      <w:r>
        <w:separator/>
      </w:r>
    </w:p>
  </w:endnote>
  <w:endnote w:type="continuationSeparator" w:id="0">
    <w:p w:rsidR="00000000" w:rsidRDefault="00D6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63F9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D63F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63F9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00000" w:rsidRDefault="00D63F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3F9E">
      <w:r>
        <w:separator/>
      </w:r>
    </w:p>
  </w:footnote>
  <w:footnote w:type="continuationSeparator" w:id="0">
    <w:p w:rsidR="00000000" w:rsidRDefault="00D63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38B"/>
    <w:multiLevelType w:val="hybridMultilevel"/>
    <w:tmpl w:val="15BE7E8A"/>
    <w:lvl w:ilvl="0" w:tplc="6930C37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eastAsia="Arial Unicode MS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5F770F"/>
    <w:multiLevelType w:val="hybridMultilevel"/>
    <w:tmpl w:val="98C2B608"/>
    <w:lvl w:ilvl="0" w:tplc="FE9E89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90547"/>
    <w:multiLevelType w:val="hybridMultilevel"/>
    <w:tmpl w:val="AB6CC4E2"/>
    <w:lvl w:ilvl="0" w:tplc="A3A2E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24580C"/>
    <w:multiLevelType w:val="hybridMultilevel"/>
    <w:tmpl w:val="B56A4DEC"/>
    <w:lvl w:ilvl="0" w:tplc="01F8F5A8">
      <w:start w:val="2"/>
      <w:numFmt w:val="decimal"/>
      <w:lvlText w:val="%1)"/>
      <w:lvlJc w:val="left"/>
      <w:pPr>
        <w:tabs>
          <w:tab w:val="num" w:pos="3123"/>
        </w:tabs>
        <w:ind w:left="312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843"/>
        </w:tabs>
        <w:ind w:left="384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563"/>
        </w:tabs>
        <w:ind w:left="456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283"/>
        </w:tabs>
        <w:ind w:left="528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003"/>
        </w:tabs>
        <w:ind w:left="600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723"/>
        </w:tabs>
        <w:ind w:left="672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443"/>
        </w:tabs>
        <w:ind w:left="744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163"/>
        </w:tabs>
        <w:ind w:left="816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883"/>
        </w:tabs>
        <w:ind w:left="8883" w:hanging="180"/>
      </w:pPr>
    </w:lvl>
  </w:abstractNum>
  <w:abstractNum w:abstractNumId="4">
    <w:nsid w:val="3DDD141D"/>
    <w:multiLevelType w:val="hybridMultilevel"/>
    <w:tmpl w:val="9752A680"/>
    <w:lvl w:ilvl="0" w:tplc="822EA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996DCF"/>
    <w:multiLevelType w:val="hybridMultilevel"/>
    <w:tmpl w:val="AB9CEB40"/>
    <w:lvl w:ilvl="0" w:tplc="768AEA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7B030E"/>
    <w:multiLevelType w:val="hybridMultilevel"/>
    <w:tmpl w:val="08F29BEC"/>
    <w:lvl w:ilvl="0" w:tplc="3502E0FE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eastAsia="Arial Unicode MS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44"/>
    <w:rsid w:val="008B5244"/>
    <w:rsid w:val="00D63F9E"/>
    <w:rsid w:val="00E4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  <w:i/>
      <w:iCs/>
      <w:sz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lang w:val="es-ES" w:eastAsia="es-ES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i/>
      <w:iCs/>
      <w:sz w:val="22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lang w:val="es-ES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  <w:i/>
      <w:iCs/>
      <w:sz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lang w:val="es-ES" w:eastAsia="es-ES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i/>
      <w:iCs/>
      <w:sz w:val="22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lang w:val="es-ES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N° 214</vt:lpstr>
    </vt:vector>
  </TitlesOfParts>
  <Company>,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N° 214</dc:title>
  <dc:subject/>
  <dc:creator>Pcs</dc:creator>
  <cp:keywords/>
  <cp:lastModifiedBy>Miriam Cristina Rivero</cp:lastModifiedBy>
  <cp:revision>2</cp:revision>
  <cp:lastPrinted>2014-01-20T14:51:00Z</cp:lastPrinted>
  <dcterms:created xsi:type="dcterms:W3CDTF">2014-01-20T14:51:00Z</dcterms:created>
  <dcterms:modified xsi:type="dcterms:W3CDTF">2014-01-20T14:51:00Z</dcterms:modified>
</cp:coreProperties>
</file>