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46" w:rsidRPr="000B5346" w:rsidRDefault="000B534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B5346">
        <w:rPr>
          <w:rFonts w:ascii="Arial" w:hAnsi="Arial" w:cs="Arial"/>
          <w:lang w:val="es-ES_tradnl"/>
        </w:rPr>
        <w:t>RESOLUCION ADOPTADA POR EL</w:t>
      </w:r>
    </w:p>
    <w:p w:rsidR="000B5346" w:rsidRPr="000B5346" w:rsidRDefault="000B534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B5346" w:rsidRPr="000B5346" w:rsidRDefault="000B534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B5346">
        <w:rPr>
          <w:rFonts w:ascii="Arial" w:hAnsi="Arial" w:cs="Arial"/>
          <w:lang w:val="es-ES_tradnl"/>
        </w:rPr>
        <w:t>TRIBUNAL DE CUENTAS</w:t>
      </w:r>
    </w:p>
    <w:p w:rsidR="000B5346" w:rsidRPr="000B5346" w:rsidRDefault="000B534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B5346" w:rsidRPr="000B5346" w:rsidRDefault="000B534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B5346">
        <w:rPr>
          <w:rFonts w:ascii="Arial" w:hAnsi="Arial" w:cs="Arial"/>
          <w:lang w:val="es-ES_tradnl"/>
        </w:rPr>
        <w:t>EN SESION DE FECHA  DE  15 DE ENERO  DE  2014</w:t>
      </w:r>
    </w:p>
    <w:p w:rsidR="000B5346" w:rsidRPr="000B5346" w:rsidRDefault="000B534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0B5346" w:rsidRPr="000B5346" w:rsidRDefault="000B5346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0B5346">
        <w:rPr>
          <w:rFonts w:ascii="Arial" w:hAnsi="Arial" w:cs="Arial"/>
          <w:lang w:val="es-UY"/>
        </w:rPr>
        <w:t xml:space="preserve">(E. E. Nº 2013-17-1-0008575, </w:t>
      </w:r>
      <w:proofErr w:type="spellStart"/>
      <w:r w:rsidRPr="000B5346">
        <w:rPr>
          <w:rFonts w:ascii="Arial" w:hAnsi="Arial" w:cs="Arial"/>
          <w:lang w:val="es-UY"/>
        </w:rPr>
        <w:t>Ent</w:t>
      </w:r>
      <w:proofErr w:type="spellEnd"/>
      <w:r w:rsidRPr="000B5346">
        <w:rPr>
          <w:rFonts w:ascii="Arial" w:hAnsi="Arial" w:cs="Arial"/>
          <w:lang w:val="es-UY"/>
        </w:rPr>
        <w:t>. N° 7327/13.)</w:t>
      </w:r>
    </w:p>
    <w:p w:rsidR="000B5346" w:rsidRPr="000B5346" w:rsidRDefault="000B534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B5346" w:rsidRDefault="000B5346" w:rsidP="000B5346">
      <w:pPr>
        <w:pStyle w:val="Ttulo"/>
        <w:ind w:firstLine="708"/>
        <w:jc w:val="both"/>
        <w:rPr>
          <w:u w:val="none"/>
        </w:rPr>
      </w:pPr>
    </w:p>
    <w:p w:rsidR="00E41B77" w:rsidRDefault="00E41B77" w:rsidP="000B5346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>VISTO:</w:t>
      </w:r>
      <w:r>
        <w:rPr>
          <w:b w:val="0"/>
          <w:u w:val="none"/>
        </w:rPr>
        <w:t xml:space="preserve"> las actuaciones remitidas por la Administración de los Servicios de Salud del Estado (ASSE), relativas al llamado del Centro Hospitalario Pereira </w:t>
      </w:r>
      <w:proofErr w:type="spellStart"/>
      <w:r>
        <w:rPr>
          <w:b w:val="0"/>
          <w:u w:val="none"/>
        </w:rPr>
        <w:t>Rossell</w:t>
      </w:r>
      <w:proofErr w:type="spellEnd"/>
      <w:r>
        <w:rPr>
          <w:b w:val="0"/>
          <w:u w:val="none"/>
        </w:rPr>
        <w:t xml:space="preserve">, Licitación Pública 005/2013, para la contratación de un servicio de mantenimiento preventivo y correctivo de 13 ascensores y 2 montacargas; </w:t>
      </w:r>
    </w:p>
    <w:p w:rsidR="00E41B77" w:rsidRDefault="00E41B77" w:rsidP="000B5346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>que cumplidos los trámites de estilo, al acto de apertura de ofertas realizado con fecha 03 de octubre de 2013, se presentó una única oferta: América Ascensores Ltda.;</w:t>
      </w:r>
    </w:p>
    <w:p w:rsidR="00E41B77" w:rsidRDefault="000B5346" w:rsidP="000B5346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E41B77">
        <w:rPr>
          <w:u w:val="none"/>
        </w:rPr>
        <w:t>2)</w:t>
      </w:r>
      <w:r w:rsidR="00E41B77">
        <w:rPr>
          <w:b w:val="0"/>
          <w:bCs/>
          <w:u w:val="none"/>
        </w:rPr>
        <w:t xml:space="preserve"> que la Comisión Asesora de Adjudicaciones, con fecha 14 de octubre de 2013, aconseja solicitar mejoramiento de oferta de acuerdo con el artículo 66 del TOCAF y con fecha 23 de octubre siguiente se labró acta de apertura de mejoramiento de oferta;</w:t>
      </w:r>
    </w:p>
    <w:p w:rsidR="00E41B77" w:rsidRDefault="000B5346" w:rsidP="000B5346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E41B77">
        <w:rPr>
          <w:bCs/>
          <w:u w:val="none"/>
        </w:rPr>
        <w:t>3</w:t>
      </w:r>
      <w:r w:rsidR="00E41B77">
        <w:rPr>
          <w:u w:val="none"/>
        </w:rPr>
        <w:t>)</w:t>
      </w:r>
      <w:r w:rsidR="00E41B77">
        <w:rPr>
          <w:b w:val="0"/>
          <w:bCs/>
          <w:u w:val="none"/>
        </w:rPr>
        <w:t xml:space="preserve"> que la Comisión Asesora de Adjudicaciones, por informe de fecha 23 de octubre de 2013, recomienda adjudicar a América Ascensores Ltda. </w:t>
      </w:r>
      <w:proofErr w:type="gramStart"/>
      <w:r w:rsidR="00E41B77">
        <w:rPr>
          <w:b w:val="0"/>
          <w:bCs/>
          <w:u w:val="none"/>
        </w:rPr>
        <w:t>por</w:t>
      </w:r>
      <w:proofErr w:type="gramEnd"/>
      <w:r w:rsidR="00E41B77">
        <w:rPr>
          <w:b w:val="0"/>
          <w:bCs/>
          <w:u w:val="none"/>
        </w:rPr>
        <w:t xml:space="preserve"> ser única oferta y cumplir con lo solicitado, por un monto de $ 4.314.081,0</w:t>
      </w:r>
      <w:bookmarkStart w:id="0" w:name="_GoBack"/>
      <w:bookmarkEnd w:id="0"/>
      <w:r w:rsidR="00E41B77">
        <w:rPr>
          <w:b w:val="0"/>
          <w:bCs/>
          <w:u w:val="none"/>
        </w:rPr>
        <w:t>4 impuestos incluidos por el ejercicio 2014;</w:t>
      </w:r>
    </w:p>
    <w:p w:rsidR="00E41B77" w:rsidRDefault="00E41B77" w:rsidP="000B5346">
      <w:pPr>
        <w:pStyle w:val="Ttulo"/>
        <w:ind w:firstLine="2694"/>
        <w:jc w:val="both"/>
        <w:rPr>
          <w:b w:val="0"/>
          <w:bCs/>
          <w:u w:val="none"/>
        </w:rPr>
      </w:pPr>
      <w:r>
        <w:rPr>
          <w:bCs/>
          <w:u w:val="none"/>
        </w:rPr>
        <w:t>4)</w:t>
      </w:r>
      <w:r>
        <w:rPr>
          <w:b w:val="0"/>
          <w:bCs/>
          <w:u w:val="none"/>
        </w:rPr>
        <w:t xml:space="preserve"> </w:t>
      </w:r>
      <w:r w:rsidR="000B5346">
        <w:rPr>
          <w:b w:val="0"/>
          <w:bCs/>
          <w:u w:val="none"/>
        </w:rPr>
        <w:t xml:space="preserve">que </w:t>
      </w:r>
      <w:r>
        <w:rPr>
          <w:b w:val="0"/>
          <w:bCs/>
          <w:u w:val="none"/>
        </w:rPr>
        <w:t xml:space="preserve">el plazo de la contratación es de doce meses </w:t>
      </w:r>
      <w:r>
        <w:rPr>
          <w:rFonts w:cs="Arial"/>
          <w:b w:val="0"/>
          <w:bCs/>
          <w:u w:val="none"/>
          <w:lang w:val="es-ES_tradnl"/>
        </w:rPr>
        <w:t>prorrogable automáticamente por un año más, a partir de la notificación al oferente y una vez intervenido el gasto por este Tribunal;</w:t>
      </w:r>
    </w:p>
    <w:p w:rsidR="00E41B77" w:rsidRDefault="00E41B77" w:rsidP="000B5346">
      <w:pPr>
        <w:spacing w:line="360" w:lineRule="auto"/>
        <w:ind w:firstLine="269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5)</w:t>
      </w:r>
      <w:r>
        <w:rPr>
          <w:rFonts w:ascii="Arial" w:hAnsi="Arial" w:cs="Arial"/>
          <w:b w:val="0"/>
          <w:bCs/>
        </w:rPr>
        <w:t xml:space="preserve"> que se adjunta Resolución de la Dirección General del Centro Hospitalario Pereira </w:t>
      </w:r>
      <w:proofErr w:type="spellStart"/>
      <w:r>
        <w:rPr>
          <w:rFonts w:ascii="Arial" w:hAnsi="Arial" w:cs="Arial"/>
          <w:b w:val="0"/>
          <w:bCs/>
        </w:rPr>
        <w:t>Rossell</w:t>
      </w:r>
      <w:proofErr w:type="spellEnd"/>
      <w:r>
        <w:rPr>
          <w:rFonts w:ascii="Arial" w:hAnsi="Arial" w:cs="Arial"/>
          <w:b w:val="0"/>
          <w:bCs/>
        </w:rPr>
        <w:t>, de fecha 29 de octubre, adjudicando el llamado de acuerdo con lo recomendado;</w:t>
      </w:r>
    </w:p>
    <w:p w:rsidR="00E41B77" w:rsidRDefault="00E41B77" w:rsidP="000B5346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lastRenderedPageBreak/>
        <w:t>CONSIDERANDO</w:t>
      </w:r>
      <w:proofErr w:type="gramStart"/>
      <w:r>
        <w:rPr>
          <w:bCs/>
          <w:u w:val="none"/>
        </w:rPr>
        <w:t>:</w:t>
      </w:r>
      <w:r>
        <w:rPr>
          <w:b w:val="0"/>
          <w:bCs/>
          <w:u w:val="none"/>
        </w:rPr>
        <w:t xml:space="preserve">  que</w:t>
      </w:r>
      <w:proofErr w:type="gramEnd"/>
      <w:r>
        <w:rPr>
          <w:b w:val="0"/>
          <w:bCs/>
          <w:u w:val="none"/>
        </w:rPr>
        <w:t xml:space="preserve"> el procedimiento licitatorio se enmarca en las normas vigentes (</w:t>
      </w:r>
      <w:r w:rsidR="000B5346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0B5346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E41B77" w:rsidRDefault="00E41B77" w:rsidP="000B5346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0B5346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0B5346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E41B77" w:rsidRDefault="00E41B77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E41B77" w:rsidRDefault="00E41B77">
      <w:pPr>
        <w:pStyle w:val="Ttulo2"/>
        <w:spacing w:line="360" w:lineRule="auto"/>
        <w:jc w:val="left"/>
        <w:rPr>
          <w:b w:val="0"/>
          <w:bCs/>
        </w:rPr>
      </w:pPr>
      <w:r w:rsidRPr="000B5346">
        <w:rPr>
          <w:bCs/>
          <w:lang w:val="es-UY"/>
        </w:rPr>
        <w:t>1)</w:t>
      </w:r>
      <w:r>
        <w:rPr>
          <w:b w:val="0"/>
          <w:bCs/>
          <w:lang w:val="es-UY"/>
        </w:rPr>
        <w:t xml:space="preserve"> </w:t>
      </w:r>
      <w:r>
        <w:rPr>
          <w:b w:val="0"/>
          <w:bCs/>
        </w:rPr>
        <w:t>No formular observaciones.</w:t>
      </w:r>
    </w:p>
    <w:p w:rsidR="00E41B77" w:rsidRDefault="00E41B77" w:rsidP="004131A4">
      <w:pPr>
        <w:pStyle w:val="Textoindependiente2"/>
        <w:ind w:left="284" w:hanging="284"/>
        <w:rPr>
          <w:lang w:val="es-ES"/>
        </w:rPr>
      </w:pPr>
      <w:r w:rsidRPr="000B5346">
        <w:rPr>
          <w:b/>
          <w:lang w:val="es-ES"/>
        </w:rPr>
        <w:t>2)</w:t>
      </w:r>
      <w:r>
        <w:rPr>
          <w:lang w:val="es-ES"/>
        </w:rPr>
        <w:t xml:space="preserve"> Com</w:t>
      </w:r>
      <w:r w:rsidR="00C9235A">
        <w:rPr>
          <w:lang w:val="es-ES"/>
        </w:rPr>
        <w:t>eter</w:t>
      </w:r>
      <w:r>
        <w:rPr>
          <w:lang w:val="es-ES"/>
        </w:rPr>
        <w:t xml:space="preserve"> a la Contadora  Delegada en ASSE la intervención del gasto total por el </w:t>
      </w:r>
      <w:r w:rsidR="000B5346">
        <w:rPr>
          <w:lang w:val="es-ES"/>
        </w:rPr>
        <w:t>E</w:t>
      </w:r>
      <w:r>
        <w:rPr>
          <w:lang w:val="es-ES"/>
        </w:rPr>
        <w:t>jercicio 2014 de $ 4.31</w:t>
      </w:r>
      <w:r w:rsidR="00FA36C1">
        <w:rPr>
          <w:lang w:val="es-ES"/>
        </w:rPr>
        <w:t>4</w:t>
      </w:r>
      <w:r>
        <w:rPr>
          <w:lang w:val="es-ES"/>
        </w:rPr>
        <w:t xml:space="preserve">.081,04 impuestos incluidos, así como la posible prórroga de la contratación, a favor de América Ascensores Ltda, previo control de su imputación al grupo adecuado con disponibilidad suficiente una vez abiertos los créditos del Ejercicio 2014, así como </w:t>
      </w:r>
      <w:r>
        <w:rPr>
          <w:bCs w:val="0"/>
          <w:lang w:val="es-MX"/>
        </w:rPr>
        <w:t xml:space="preserve">la </w:t>
      </w:r>
      <w:r w:rsidRPr="004131A4">
        <w:rPr>
          <w:bCs w:val="0"/>
          <w:spacing w:val="8"/>
          <w:lang w:val="es-MX"/>
        </w:rPr>
        <w:t xml:space="preserve">verificación </w:t>
      </w:r>
      <w:r w:rsidRPr="004131A4">
        <w:rPr>
          <w:bCs w:val="0"/>
          <w:spacing w:val="8"/>
        </w:rPr>
        <w:t>del cumplimiento de lo establecido por el Art</w:t>
      </w:r>
      <w:r w:rsidR="004131A4" w:rsidRPr="004131A4">
        <w:rPr>
          <w:bCs w:val="0"/>
          <w:spacing w:val="8"/>
        </w:rPr>
        <w:t>ículo</w:t>
      </w:r>
      <w:r w:rsidRPr="004131A4">
        <w:rPr>
          <w:bCs w:val="0"/>
          <w:spacing w:val="8"/>
        </w:rPr>
        <w:t xml:space="preserve"> 3</w:t>
      </w:r>
      <w:r w:rsidR="004131A4" w:rsidRPr="004131A4">
        <w:rPr>
          <w:bCs w:val="0"/>
          <w:spacing w:val="8"/>
        </w:rPr>
        <w:t xml:space="preserve"> de la L</w:t>
      </w:r>
      <w:r w:rsidRPr="004131A4">
        <w:rPr>
          <w:bCs w:val="0"/>
          <w:spacing w:val="8"/>
        </w:rPr>
        <w:t>ey  N°</w:t>
      </w:r>
      <w:r>
        <w:rPr>
          <w:bCs w:val="0"/>
        </w:rPr>
        <w:t xml:space="preserve"> 18.244 del 27 de diciembre de 2007 (deudores alimentarios);</w:t>
      </w:r>
    </w:p>
    <w:p w:rsidR="00E41B77" w:rsidRDefault="00E41B77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4131A4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Comunicar a la Contadora Delegada; </w:t>
      </w:r>
      <w:r w:rsidR="004131A4">
        <w:rPr>
          <w:rFonts w:ascii="Arial" w:hAnsi="Arial" w:cs="Arial"/>
          <w:b w:val="0"/>
          <w:bCs/>
        </w:rPr>
        <w:t>y</w:t>
      </w:r>
    </w:p>
    <w:p w:rsidR="00E41B77" w:rsidRDefault="00800748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4131A4">
        <w:rPr>
          <w:rFonts w:ascii="Arial" w:hAnsi="Arial" w:cs="Arial"/>
          <w:bCs/>
        </w:rPr>
        <w:t>4</w:t>
      </w:r>
      <w:r w:rsidR="00E41B77" w:rsidRPr="004131A4">
        <w:rPr>
          <w:rFonts w:ascii="Arial" w:hAnsi="Arial" w:cs="Arial"/>
          <w:bCs/>
        </w:rPr>
        <w:t>)</w:t>
      </w:r>
      <w:r w:rsidR="00E41B77">
        <w:rPr>
          <w:rFonts w:ascii="Arial" w:hAnsi="Arial" w:cs="Arial"/>
          <w:b w:val="0"/>
          <w:bCs/>
        </w:rPr>
        <w:t xml:space="preserve"> Devolver las actuaciones.</w:t>
      </w:r>
    </w:p>
    <w:p w:rsidR="004131A4" w:rsidRDefault="004131A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4131A4" w:rsidRDefault="004131A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4131A4" w:rsidRDefault="004131A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4131A4" w:rsidRDefault="004131A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4131A4" w:rsidRDefault="004131A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4131A4" w:rsidRDefault="004131A4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4131A4" w:rsidSect="006C7481">
      <w:pgSz w:w="11906" w:h="16838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BB93E02"/>
    <w:multiLevelType w:val="hybridMultilevel"/>
    <w:tmpl w:val="897A7BD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4EA81C12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4D4B88"/>
    <w:multiLevelType w:val="hybridMultilevel"/>
    <w:tmpl w:val="53CE90BA"/>
    <w:lvl w:ilvl="0" w:tplc="73A4C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84451A"/>
    <w:multiLevelType w:val="hybridMultilevel"/>
    <w:tmpl w:val="24FC4F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565597"/>
    <w:multiLevelType w:val="hybridMultilevel"/>
    <w:tmpl w:val="38EE869A"/>
    <w:lvl w:ilvl="0" w:tplc="09F0A50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8"/>
  </w:num>
  <w:num w:numId="8">
    <w:abstractNumId w:val="7"/>
  </w:num>
  <w:num w:numId="9">
    <w:abstractNumId w:val="4"/>
  </w:num>
  <w:num w:numId="10">
    <w:abstractNumId w:val="12"/>
  </w:num>
  <w:num w:numId="11">
    <w:abstractNumId w:val="21"/>
  </w:num>
  <w:num w:numId="12">
    <w:abstractNumId w:val="23"/>
  </w:num>
  <w:num w:numId="13">
    <w:abstractNumId w:val="25"/>
  </w:num>
  <w:num w:numId="14">
    <w:abstractNumId w:val="6"/>
  </w:num>
  <w:num w:numId="15">
    <w:abstractNumId w:val="16"/>
  </w:num>
  <w:num w:numId="16">
    <w:abstractNumId w:val="19"/>
  </w:num>
  <w:num w:numId="17">
    <w:abstractNumId w:val="22"/>
  </w:num>
  <w:num w:numId="18">
    <w:abstractNumId w:val="9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13"/>
  </w:num>
  <w:num w:numId="25">
    <w:abstractNumId w:val="2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5A"/>
    <w:rsid w:val="000B5346"/>
    <w:rsid w:val="004131A4"/>
    <w:rsid w:val="006C7481"/>
    <w:rsid w:val="00800748"/>
    <w:rsid w:val="00933EFA"/>
    <w:rsid w:val="00C9235A"/>
    <w:rsid w:val="00E41B77"/>
    <w:rsid w:val="00FA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b/>
      <w:color w:val="000000"/>
      <w:sz w:val="16"/>
      <w:szCs w:val="16"/>
    </w:rPr>
  </w:style>
  <w:style w:type="paragraph" w:styleId="Prrafodelista">
    <w:name w:val="List Paragraph"/>
    <w:basedOn w:val="Normal"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b/>
      <w:color w:val="000000"/>
      <w:sz w:val="16"/>
      <w:szCs w:val="16"/>
    </w:rPr>
  </w:style>
  <w:style w:type="paragraph" w:styleId="Prrafodelista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27233644</dc:creator>
  <cp:keywords/>
  <cp:lastModifiedBy>tribunal1</cp:lastModifiedBy>
  <cp:revision>4</cp:revision>
  <cp:lastPrinted>2014-01-20T11:54:00Z</cp:lastPrinted>
  <dcterms:created xsi:type="dcterms:W3CDTF">2014-01-20T11:02:00Z</dcterms:created>
  <dcterms:modified xsi:type="dcterms:W3CDTF">2014-01-20T11:54:00Z</dcterms:modified>
</cp:coreProperties>
</file>