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B9" w:rsidRDefault="008C42B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8C42B9" w:rsidRDefault="008C42B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C42B9" w:rsidRDefault="008C42B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C42B9" w:rsidRDefault="008C42B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C42B9" w:rsidRDefault="008C42B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8C42B9" w:rsidRDefault="008C42B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C42B9" w:rsidRPr="00563757" w:rsidRDefault="008C42B9" w:rsidP="0056375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MX"/>
        </w:rPr>
      </w:pPr>
      <w:r w:rsidRPr="00563757">
        <w:rPr>
          <w:rFonts w:ascii="Arial" w:hAnsi="Arial" w:cs="Arial"/>
          <w:b/>
          <w:lang w:val="es-ES_tradnl"/>
        </w:rPr>
        <w:t xml:space="preserve">(E. E. Nº </w:t>
      </w:r>
      <w:r>
        <w:rPr>
          <w:rFonts w:ascii="Arial" w:hAnsi="Arial" w:cs="Arial"/>
          <w:b/>
          <w:lang w:val="es-ES_tradnl"/>
        </w:rPr>
        <w:t>2013.17.1.0007812,</w:t>
      </w:r>
      <w:r w:rsidRPr="0056375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s-MX"/>
        </w:rPr>
        <w:t>E. N° 6716/13.</w:t>
      </w:r>
      <w:r w:rsidRPr="00563757">
        <w:rPr>
          <w:rFonts w:ascii="Arial" w:hAnsi="Arial" w:cs="Arial"/>
          <w:b/>
          <w:lang w:val="es-MX"/>
        </w:rPr>
        <w:t>)</w:t>
      </w:r>
    </w:p>
    <w:p w:rsidR="008C42B9" w:rsidRDefault="008C42B9">
      <w:pPr>
        <w:rPr>
          <w:rFonts w:ascii="Arial" w:hAnsi="Arial"/>
        </w:rPr>
      </w:pPr>
    </w:p>
    <w:p w:rsidR="00572479" w:rsidRDefault="00572479" w:rsidP="008C42B9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000000" w:rsidRDefault="00C74FAA" w:rsidP="008C42B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</w:t>
      </w:r>
      <w:r>
        <w:rPr>
          <w:rFonts w:ascii="Arial" w:hAnsi="Arial" w:cs="Arial"/>
        </w:rPr>
        <w:t xml:space="preserve">: las actuaciones remitidas por el </w:t>
      </w:r>
      <w:r>
        <w:rPr>
          <w:rFonts w:ascii="Arial" w:hAnsi="Arial" w:cs="Arial"/>
        </w:rPr>
        <w:t xml:space="preserve">Ministerio de Vivienda Ordenamiento Territorial y Medio Ambiente (MVOTMA) relacionadas con el Convenio interinstitucional suscrito </w:t>
      </w:r>
      <w:r w:rsidR="00DC72F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dicho Ministerio y la Intendencia de Canelones (I.C);</w:t>
      </w:r>
    </w:p>
    <w:p w:rsidR="00000000" w:rsidRDefault="00C74FAA" w:rsidP="008C42B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RESULTANDO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que con fecha  24 de mayo de 2013, se suscribió c</w:t>
      </w:r>
      <w:r>
        <w:rPr>
          <w:rFonts w:ascii="Arial" w:hAnsi="Arial" w:cs="Arial"/>
        </w:rPr>
        <w:t>onvenio con el objeto de acordar la forma de cooperación entre ambas Instituciones para la ejecución de programas y proyectos enmarcados en las seis líneas estratégicas entre las que se encuentra el Plan de relocalización de asentados en terrenos inundable</w:t>
      </w:r>
      <w:r>
        <w:rPr>
          <w:rFonts w:ascii="Arial" w:hAnsi="Arial" w:cs="Arial"/>
        </w:rPr>
        <w:t xml:space="preserve">s y/o contaminados; acciones que serán desarrolladas en convenios específicos; </w:t>
      </w:r>
    </w:p>
    <w:p w:rsidR="00000000" w:rsidRDefault="008C42B9" w:rsidP="008C42B9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C74FAA">
        <w:rPr>
          <w:rFonts w:ascii="Arial" w:hAnsi="Arial" w:cs="Arial"/>
          <w:b/>
          <w:bCs/>
        </w:rPr>
        <w:t xml:space="preserve">2) </w:t>
      </w:r>
      <w:r w:rsidR="00C74FAA">
        <w:rPr>
          <w:rFonts w:ascii="Arial" w:hAnsi="Arial" w:cs="Arial"/>
        </w:rPr>
        <w:t xml:space="preserve">que el objeto del convenio remitido en esta oportunidad, </w:t>
      </w:r>
      <w:r w:rsidR="00C74FAA">
        <w:rPr>
          <w:rFonts w:ascii="Arial" w:hAnsi="Arial" w:cs="Arial"/>
        </w:rPr>
        <w:t xml:space="preserve">consiste en la relocalización de hasta 30 (treinta) familias, asentadas en la zona de </w:t>
      </w:r>
      <w:r w:rsidR="00C74FAA">
        <w:rPr>
          <w:rFonts w:ascii="Arial" w:hAnsi="Arial" w:cs="Arial"/>
        </w:rPr>
        <w:t>Toledo, asentamiento San Felipe- La Capilla, en  virtud de encontrarse en zona inundable (Cañada Garín) y de hasta 25 (veinticinco) familias asentadas en el espacio de convivencia Obelisco, del asentamiento Matadero y Santa Isabel, en virtud de tratarse de</w:t>
      </w:r>
      <w:r w:rsidR="00C74FAA">
        <w:rPr>
          <w:rFonts w:ascii="Arial" w:hAnsi="Arial" w:cs="Arial"/>
        </w:rPr>
        <w:t xml:space="preserve"> familias en situación de muy fuerte vulnerabilidad social; </w:t>
      </w:r>
    </w:p>
    <w:p w:rsidR="00000000" w:rsidRDefault="008C42B9" w:rsidP="008C42B9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C74FAA">
        <w:rPr>
          <w:rFonts w:ascii="Arial" w:hAnsi="Arial" w:cs="Arial"/>
          <w:b/>
          <w:bCs/>
        </w:rPr>
        <w:t xml:space="preserve">3) </w:t>
      </w:r>
      <w:r w:rsidR="00C74FAA">
        <w:rPr>
          <w:rFonts w:ascii="Arial" w:hAnsi="Arial" w:cs="Arial"/>
        </w:rPr>
        <w:t>que de la cláusula tercera surge que el MVOTMA se obliga a  transferir a la Intendencia de Canelones un monto de hasta 74.525 UR con destino a financiar hasta 55 soluciones habitacio</w:t>
      </w:r>
      <w:r w:rsidR="00C74FAA">
        <w:rPr>
          <w:rFonts w:ascii="Arial" w:hAnsi="Arial" w:cs="Arial"/>
        </w:rPr>
        <w:t xml:space="preserve">nales, - en las localidades indicadas-  y 2981 UR para la contratación de 3 (tres) Asistentes Sociales.   La transferencia de fondos  se realizará con cargo a los créditos presupuestales del MVOTMA,  proyecto 120, en una primera partida equivalente al 40% </w:t>
      </w:r>
      <w:r w:rsidR="00C74FAA">
        <w:rPr>
          <w:rFonts w:ascii="Arial" w:hAnsi="Arial" w:cs="Arial"/>
        </w:rPr>
        <w:t xml:space="preserve">del </w:t>
      </w:r>
      <w:r w:rsidR="00C74FAA">
        <w:rPr>
          <w:rFonts w:ascii="Arial" w:hAnsi="Arial" w:cs="Arial"/>
        </w:rPr>
        <w:lastRenderedPageBreak/>
        <w:t>total, -al presentarse y aprobarse el Proyecto por la DINAVI-; una segunda partida del 30% del total,  contra un avance de obra no menor al 30% de la Obra;  una tercera  partida del 15% del total, una vez constatado un  avance  no menor al  65% de la m</w:t>
      </w:r>
      <w:r w:rsidR="00C74FAA">
        <w:rPr>
          <w:rFonts w:ascii="Arial" w:hAnsi="Arial" w:cs="Arial"/>
        </w:rPr>
        <w:t>isma y una última partida del 15% al concretar</w:t>
      </w:r>
      <w:r w:rsidR="00DC72F7">
        <w:rPr>
          <w:rFonts w:ascii="Arial" w:hAnsi="Arial" w:cs="Arial"/>
        </w:rPr>
        <w:t xml:space="preserve"> </w:t>
      </w:r>
      <w:r w:rsidR="00C74FAA">
        <w:rPr>
          <w:rFonts w:ascii="Arial" w:hAnsi="Arial" w:cs="Arial"/>
        </w:rPr>
        <w:t xml:space="preserve"> el 80% del avance de obra proyectada. Dichas sumas serán depositadas en la Intendencia de Canelones para ese fin</w:t>
      </w:r>
      <w:r w:rsidR="00DC72F7">
        <w:rPr>
          <w:rFonts w:ascii="Arial" w:hAnsi="Arial" w:cs="Arial"/>
        </w:rPr>
        <w:t>.</w:t>
      </w:r>
      <w:r w:rsidR="00C74FAA">
        <w:rPr>
          <w:rFonts w:ascii="Arial" w:hAnsi="Arial" w:cs="Arial"/>
        </w:rPr>
        <w:t xml:space="preserve"> Asimismo el MVOTMA se compromete a: presentar proyecto social y arquitectónico;  elaborar y a</w:t>
      </w:r>
      <w:r w:rsidR="00C74FAA">
        <w:rPr>
          <w:rFonts w:ascii="Arial" w:hAnsi="Arial" w:cs="Arial"/>
        </w:rPr>
        <w:t xml:space="preserve">probar los pliegos y llamados a licitación para las obras y compras de materiales;  designar un equipo técnico que contemple la supervisión y realización de la obra;  realizar los aportes necesarios para garantizar el desarrollo de la obra; y </w:t>
      </w:r>
      <w:r w:rsidR="00C74FAA">
        <w:rPr>
          <w:rFonts w:ascii="Arial" w:hAnsi="Arial" w:cs="Arial"/>
        </w:rPr>
        <w:t>firmar acuer</w:t>
      </w:r>
      <w:r w:rsidR="00C74FAA">
        <w:rPr>
          <w:rFonts w:ascii="Arial" w:hAnsi="Arial" w:cs="Arial"/>
        </w:rPr>
        <w:t xml:space="preserve">dos con los adjudicatarios; </w:t>
      </w:r>
    </w:p>
    <w:p w:rsidR="00000000" w:rsidRDefault="008C42B9" w:rsidP="008C42B9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C74FAA">
        <w:rPr>
          <w:rFonts w:ascii="Arial" w:hAnsi="Arial" w:cs="Arial"/>
          <w:b/>
        </w:rPr>
        <w:t xml:space="preserve">4) </w:t>
      </w:r>
      <w:r w:rsidR="00C74FAA">
        <w:rPr>
          <w:rFonts w:ascii="Arial" w:hAnsi="Arial" w:cs="Arial"/>
        </w:rPr>
        <w:t xml:space="preserve">que de la cláusula sexta  surge que el plazo  de las obras es de dos años, a contar de la suscripción del convenio,  pudiendo prorrogarse por  un año más en caso de no existir declaración expresa </w:t>
      </w:r>
      <w:r w:rsidR="00C74FAA">
        <w:rPr>
          <w:rFonts w:ascii="Arial" w:hAnsi="Arial" w:cs="Arial"/>
        </w:rPr>
        <w:t xml:space="preserve">en contra;  </w:t>
      </w:r>
    </w:p>
    <w:p w:rsidR="00000000" w:rsidRDefault="008C42B9" w:rsidP="008C42B9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C74FAA">
        <w:rPr>
          <w:rFonts w:ascii="Arial" w:hAnsi="Arial" w:cs="Arial"/>
          <w:b/>
          <w:bCs/>
        </w:rPr>
        <w:t xml:space="preserve">5) </w:t>
      </w:r>
      <w:r w:rsidR="00C74FAA">
        <w:rPr>
          <w:rFonts w:ascii="Arial" w:hAnsi="Arial" w:cs="Arial"/>
        </w:rPr>
        <w:t>que en la cláusula novena  se establece que la Intendencia de  Canelones  se obliga a remitir al MVOTMA, en forma trimestral certificación de Contador Público acompañada de un informe de Revisión Limitada avaland</w:t>
      </w:r>
      <w:r w:rsidR="00C74FAA">
        <w:rPr>
          <w:rFonts w:ascii="Arial" w:hAnsi="Arial" w:cs="Arial"/>
        </w:rPr>
        <w:t>o que los fondos fueron utilizados por el monto y para los fines para los cuales fueron entregados, y un informe técnico con el avance y evaluación de lo actuado;</w:t>
      </w:r>
    </w:p>
    <w:p w:rsidR="00000000" w:rsidRDefault="00C74FAA" w:rsidP="008C42B9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6)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 xml:space="preserve"> se adjunta Proyecto de Resolución del Ministro de Vivienda</w:t>
      </w:r>
      <w:r>
        <w:rPr>
          <w:rFonts w:ascii="Arial" w:hAnsi="Arial" w:cs="Arial"/>
        </w:rPr>
        <w:t xml:space="preserve"> Ordenamiento Territorial y Medio Ambiente  por la cual se proyecta:  a)  autorizar la suscripción del  Convenio entre la I. C y el MVOTMA con el objeto descrito, y  b) disponer la erogación emergente que asciende a 77.506 UR, que  será financiada con carg</w:t>
      </w:r>
      <w:r>
        <w:rPr>
          <w:rFonts w:ascii="Arial" w:hAnsi="Arial" w:cs="Arial"/>
        </w:rPr>
        <w:t>o al Proyecto  720 “Realojos” Fondo Nacional de Vivienda y Urbanización;</w:t>
      </w:r>
    </w:p>
    <w:p w:rsidR="00000000" w:rsidRDefault="00C74FAA" w:rsidP="008C42B9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7)</w:t>
      </w:r>
      <w:r>
        <w:rPr>
          <w:rFonts w:ascii="Arial" w:hAnsi="Arial" w:cs="Arial"/>
        </w:rPr>
        <w:t xml:space="preserve"> que la Administración de Recursos Financieros  del MVOTMA con fecha 20.11.2013 detalla los desembolsos estimados por </w:t>
      </w:r>
      <w:r>
        <w:rPr>
          <w:rFonts w:ascii="Arial" w:hAnsi="Arial" w:cs="Arial"/>
        </w:rPr>
        <w:lastRenderedPageBreak/>
        <w:t>Ejercicio, en los siguientes término</w:t>
      </w:r>
      <w:r>
        <w:rPr>
          <w:rFonts w:ascii="Arial" w:hAnsi="Arial" w:cs="Arial"/>
        </w:rPr>
        <w:t>s: la suma de 31.0002 UR para el Ejercicio 2013 y un total de 46.504 UR para el Ejercicio 2014;</w:t>
      </w:r>
    </w:p>
    <w:p w:rsidR="00000000" w:rsidRDefault="00C74FAA" w:rsidP="008C42B9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se adjunta documento  de Afectación del crédito Nº001313 </w:t>
      </w:r>
      <w:r>
        <w:rPr>
          <w:rFonts w:ascii="Arial" w:hAnsi="Arial" w:cs="Arial"/>
        </w:rPr>
        <w:t xml:space="preserve">de fecha 22.11.13 con cargo al  Prog. 520  Proy. 720, </w:t>
      </w:r>
      <w:r>
        <w:rPr>
          <w:rFonts w:ascii="Arial" w:hAnsi="Arial" w:cs="Arial"/>
        </w:rPr>
        <w:t>Objeto de Gas</w:t>
      </w:r>
      <w:r>
        <w:rPr>
          <w:rFonts w:ascii="Arial" w:hAnsi="Arial" w:cs="Arial"/>
        </w:rPr>
        <w:t xml:space="preserve">to </w:t>
      </w:r>
      <w:proofErr w:type="gramStart"/>
      <w:r>
        <w:rPr>
          <w:rFonts w:ascii="Arial" w:hAnsi="Arial" w:cs="Arial"/>
        </w:rPr>
        <w:t>539 ,</w:t>
      </w:r>
      <w:proofErr w:type="gramEnd"/>
      <w:r>
        <w:rPr>
          <w:rFonts w:ascii="Arial" w:hAnsi="Arial" w:cs="Arial"/>
        </w:rPr>
        <w:t xml:space="preserve"> Financiamiento 1.5,  por un monto de $ 20.818.774;</w:t>
      </w:r>
    </w:p>
    <w:p w:rsidR="00000000" w:rsidRDefault="00C74FAA" w:rsidP="008C42B9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b/>
        </w:rPr>
        <w:t xml:space="preserve">CONSIDERANDO: </w:t>
      </w:r>
      <w:r>
        <w:rPr>
          <w:rFonts w:ascii="Arial" w:hAnsi="Arial"/>
          <w:b/>
          <w:bCs/>
        </w:rPr>
        <w:t>1)</w:t>
      </w:r>
      <w:r>
        <w:rPr>
          <w:rFonts w:ascii="Arial" w:hAnsi="Arial"/>
        </w:rPr>
        <w:t xml:space="preserve"> que de acuerdo con lo dispuesto por el </w:t>
      </w:r>
      <w:r w:rsidR="00DC72F7">
        <w:rPr>
          <w:rFonts w:ascii="Arial" w:hAnsi="Arial"/>
        </w:rPr>
        <w:t>N</w:t>
      </w:r>
      <w:r>
        <w:rPr>
          <w:rFonts w:ascii="Arial" w:hAnsi="Arial"/>
        </w:rPr>
        <w:t>umeral 1</w:t>
      </w:r>
      <w:r w:rsidR="00DC72F7">
        <w:rPr>
          <w:rFonts w:ascii="Arial" w:hAnsi="Arial"/>
        </w:rPr>
        <w:t>)</w:t>
      </w:r>
      <w:r>
        <w:rPr>
          <w:rFonts w:ascii="Arial" w:hAnsi="Arial"/>
        </w:rPr>
        <w:t xml:space="preserve"> del </w:t>
      </w:r>
      <w:r w:rsidR="00DC72F7">
        <w:rPr>
          <w:rFonts w:ascii="Arial" w:hAnsi="Arial"/>
        </w:rPr>
        <w:t>N</w:t>
      </w:r>
      <w:r>
        <w:rPr>
          <w:rFonts w:ascii="Arial" w:hAnsi="Arial"/>
        </w:rPr>
        <w:t xml:space="preserve">umeral </w:t>
      </w:r>
      <w:r>
        <w:rPr>
          <w:rFonts w:ascii="Arial" w:hAnsi="Arial"/>
        </w:rPr>
        <w:t>3</w:t>
      </w:r>
      <w:r w:rsidR="00DC72F7">
        <w:rPr>
          <w:rFonts w:ascii="Arial" w:hAnsi="Arial"/>
        </w:rPr>
        <w:t>)</w:t>
      </w:r>
      <w:r>
        <w:rPr>
          <w:rFonts w:ascii="Arial" w:hAnsi="Arial"/>
        </w:rPr>
        <w:t xml:space="preserve"> de la </w:t>
      </w:r>
      <w:r w:rsidR="00DC72F7">
        <w:rPr>
          <w:rFonts w:ascii="Arial" w:hAnsi="Arial"/>
        </w:rPr>
        <w:t>L</w:t>
      </w:r>
      <w:r>
        <w:rPr>
          <w:rFonts w:ascii="Arial" w:hAnsi="Arial"/>
        </w:rPr>
        <w:t xml:space="preserve">ey </w:t>
      </w:r>
      <w:r>
        <w:rPr>
          <w:rFonts w:ascii="Arial" w:hAnsi="Arial"/>
        </w:rPr>
        <w:t xml:space="preserve">Nº 16.112 </w:t>
      </w:r>
      <w:r>
        <w:rPr>
          <w:rFonts w:ascii="Arial" w:hAnsi="Arial"/>
        </w:rPr>
        <w:t xml:space="preserve">al </w:t>
      </w:r>
      <w:r>
        <w:rPr>
          <w:rFonts w:ascii="Arial" w:hAnsi="Arial"/>
        </w:rPr>
        <w:t>MVOTMA le corresponde “lo concerniente a la formulación, ejecución, supervisión y evalu</w:t>
      </w:r>
      <w:r>
        <w:rPr>
          <w:rFonts w:ascii="Arial" w:hAnsi="Arial"/>
        </w:rPr>
        <w:t>ación de los planes de vivienda y la instrumentación de la política nacional en la materia”;</w:t>
      </w:r>
    </w:p>
    <w:p w:rsidR="00000000" w:rsidRDefault="00C74FAA" w:rsidP="00DC72F7">
      <w:pPr>
        <w:spacing w:line="360" w:lineRule="auto"/>
        <w:ind w:firstLine="283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2)</w:t>
      </w:r>
      <w:r>
        <w:rPr>
          <w:rFonts w:ascii="Arial" w:hAnsi="Arial"/>
        </w:rPr>
        <w:t xml:space="preserve"> que asimismo el numeral 8º de dicho norma  dispone que  al MVOTMA le compete, “la coordinación con los demás organismos públicos, nacionales o departamentales, </w:t>
      </w:r>
      <w:r>
        <w:rPr>
          <w:rFonts w:ascii="Arial" w:hAnsi="Arial"/>
        </w:rPr>
        <w:t xml:space="preserve">en la ejecución de sus cometidos”  y en el </w:t>
      </w:r>
      <w:r w:rsidR="00DC72F7">
        <w:rPr>
          <w:rFonts w:ascii="Arial" w:hAnsi="Arial"/>
        </w:rPr>
        <w:t>N</w:t>
      </w:r>
      <w:r>
        <w:rPr>
          <w:rFonts w:ascii="Arial" w:hAnsi="Arial"/>
        </w:rPr>
        <w:t>umeral 9</w:t>
      </w:r>
      <w:r>
        <w:rPr>
          <w:rFonts w:ascii="Arial" w:hAnsi="Arial"/>
        </w:rPr>
        <w:t>),  “la celebración  de convenios con personas públicas y privadas, nacionales o extranjeras, para el cumplimiento de sus cometidos</w:t>
      </w:r>
      <w:proofErr w:type="gramStart"/>
      <w:r>
        <w:rPr>
          <w:rFonts w:ascii="Arial" w:hAnsi="Arial"/>
        </w:rPr>
        <w:t>, ...</w:t>
      </w:r>
      <w:proofErr w:type="gramEnd"/>
      <w:r>
        <w:rPr>
          <w:rFonts w:ascii="Arial" w:hAnsi="Arial"/>
        </w:rPr>
        <w:t>”;</w:t>
      </w:r>
    </w:p>
    <w:p w:rsidR="00000000" w:rsidRDefault="00C74FAA" w:rsidP="00DC72F7">
      <w:pPr>
        <w:spacing w:line="360" w:lineRule="auto"/>
        <w:ind w:firstLine="2835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3) </w:t>
      </w:r>
      <w:r>
        <w:rPr>
          <w:rFonts w:ascii="Arial" w:hAnsi="Arial"/>
        </w:rPr>
        <w:t xml:space="preserve">que el </w:t>
      </w:r>
      <w:r w:rsidR="00DC72F7">
        <w:rPr>
          <w:rFonts w:ascii="Arial" w:hAnsi="Arial"/>
        </w:rPr>
        <w:t>A</w:t>
      </w:r>
      <w:r>
        <w:rPr>
          <w:rFonts w:ascii="Arial" w:hAnsi="Arial"/>
        </w:rPr>
        <w:t>rtículo 119 de la Ley Nº 13.728, en la redacción dada</w:t>
      </w:r>
      <w:r>
        <w:rPr>
          <w:rFonts w:ascii="Arial" w:hAnsi="Arial"/>
        </w:rPr>
        <w:t xml:space="preserve"> por el </w:t>
      </w:r>
      <w:r w:rsidR="00DC72F7">
        <w:rPr>
          <w:rFonts w:ascii="Arial" w:hAnsi="Arial"/>
        </w:rPr>
        <w:t>A</w:t>
      </w:r>
      <w:r>
        <w:rPr>
          <w:rFonts w:ascii="Arial" w:hAnsi="Arial"/>
        </w:rPr>
        <w:t xml:space="preserve">rtículo 1 de la Ley Nº 16.237 dispone que el MVOTMA “dispondrá la ejecución de los planes a través de convenios con otros organismos de derecho público habilitados legalmente para construir viviendas o con entidades privadas, por los cuales éstos </w:t>
      </w:r>
      <w:r>
        <w:rPr>
          <w:rFonts w:ascii="Arial" w:hAnsi="Arial"/>
        </w:rPr>
        <w:t>se obligan a tomar a su cargo la promoción o construcción en forma no lucrativa de conjuntos de viviendas comprendidos dentro de aquellos planes. Estos convenios dispondrán los aportes de ambos organismos, que podrán ser de tierras, urbanizaciones, servici</w:t>
      </w:r>
      <w:r>
        <w:rPr>
          <w:rFonts w:ascii="Arial" w:hAnsi="Arial"/>
        </w:rPr>
        <w:t>os, dinero, trabajo o especies”;</w:t>
      </w:r>
    </w:p>
    <w:p w:rsidR="00000000" w:rsidRDefault="00C74FAA" w:rsidP="00DC72F7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/>
          <w:b/>
          <w:bCs/>
        </w:rPr>
        <w:t>4)</w:t>
      </w:r>
      <w:r>
        <w:rPr>
          <w:rFonts w:ascii="Arial" w:hAnsi="Arial"/>
        </w:rPr>
        <w:t xml:space="preserve"> que asimismo en el </w:t>
      </w:r>
      <w:r w:rsidR="00DC72F7">
        <w:rPr>
          <w:rFonts w:ascii="Arial" w:hAnsi="Arial"/>
        </w:rPr>
        <w:t>A</w:t>
      </w:r>
      <w:r>
        <w:rPr>
          <w:rFonts w:ascii="Arial" w:hAnsi="Arial"/>
        </w:rPr>
        <w:t>rtículo 121 se habilita expresamente a que “</w:t>
      </w:r>
      <w:r>
        <w:rPr>
          <w:rFonts w:ascii="Arial" w:hAnsi="Arial"/>
        </w:rPr>
        <w:t xml:space="preserve">las </w:t>
      </w:r>
      <w:r>
        <w:rPr>
          <w:rFonts w:ascii="Arial" w:hAnsi="Arial"/>
        </w:rPr>
        <w:t xml:space="preserve">Intendencias Municipales podrán celebrar los convenios a que refiere el </w:t>
      </w:r>
      <w:r w:rsidR="00DC72F7">
        <w:rPr>
          <w:rFonts w:ascii="Arial" w:hAnsi="Arial"/>
        </w:rPr>
        <w:t>A</w:t>
      </w:r>
      <w:r>
        <w:rPr>
          <w:rFonts w:ascii="Arial" w:hAnsi="Arial"/>
        </w:rPr>
        <w:t>rtículo 119” por lo cual podrán ejecutar los planes a t</w:t>
      </w:r>
      <w:r>
        <w:rPr>
          <w:rFonts w:ascii="Arial" w:hAnsi="Arial"/>
        </w:rPr>
        <w:t xml:space="preserve">ravés de los convenios de referencia; </w:t>
      </w:r>
    </w:p>
    <w:p w:rsidR="00000000" w:rsidRDefault="00C74FAA" w:rsidP="00DC72F7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5)  </w:t>
      </w:r>
      <w:r>
        <w:rPr>
          <w:rFonts w:ascii="Arial" w:hAnsi="Arial" w:cs="Arial"/>
        </w:rPr>
        <w:t xml:space="preserve">que el </w:t>
      </w:r>
      <w:r w:rsidR="00DC72F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35 de la </w:t>
      </w:r>
      <w:r w:rsidR="00DC72F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ey Nº 9.515 establece que le compete al Intendente: “velar por la conservación de los derechos individuales de los habitantes del </w:t>
      </w:r>
      <w:r w:rsidR="00DC72F7">
        <w:rPr>
          <w:rFonts w:ascii="Arial" w:hAnsi="Arial" w:cs="Arial"/>
        </w:rPr>
        <w:t>D</w:t>
      </w:r>
      <w:r>
        <w:rPr>
          <w:rFonts w:ascii="Arial" w:hAnsi="Arial" w:cs="Arial"/>
        </w:rPr>
        <w:t>epartamento” (</w:t>
      </w:r>
      <w:r w:rsidR="00DC72F7">
        <w:rPr>
          <w:rFonts w:ascii="Arial" w:hAnsi="Arial" w:cs="Arial"/>
        </w:rPr>
        <w:t>N</w:t>
      </w:r>
      <w:r>
        <w:rPr>
          <w:rFonts w:ascii="Arial" w:hAnsi="Arial" w:cs="Arial"/>
        </w:rPr>
        <w:t>um</w:t>
      </w:r>
      <w:r w:rsidR="00DC72F7">
        <w:rPr>
          <w:rFonts w:ascii="Arial" w:hAnsi="Arial" w:cs="Arial"/>
        </w:rPr>
        <w:t>eral</w:t>
      </w:r>
      <w:r>
        <w:rPr>
          <w:rFonts w:ascii="Arial" w:hAnsi="Arial" w:cs="Arial"/>
        </w:rPr>
        <w:t xml:space="preserve"> 15),</w:t>
      </w:r>
      <w:r>
        <w:rPr>
          <w:rFonts w:ascii="Arial" w:hAnsi="Arial" w:cs="Arial"/>
        </w:rPr>
        <w:t xml:space="preserve"> “Administrar las propiedades del Departamento y las que fuesen cedidas para su servicio, proveyendo a su conservación y mejoras, así como a las de todos los establecimientos y obras departamentales. Asimismo, el artículo 36 de la mencionada ley dispone qu</w:t>
      </w:r>
      <w:r>
        <w:rPr>
          <w:rFonts w:ascii="Arial" w:hAnsi="Arial" w:cs="Arial"/>
        </w:rPr>
        <w:t>e compete también al Intendente, “acordar, con las otras autoridades, las medidas que estime conveniente, en los servicios que lo sean comunes o que convenga conservar o establecer en esta forma, determinando a la vez las cuotas que para dichos servicios c</w:t>
      </w:r>
      <w:r>
        <w:rPr>
          <w:rFonts w:ascii="Arial" w:hAnsi="Arial" w:cs="Arial"/>
        </w:rPr>
        <w:t xml:space="preserve">orrespondan a cada una”; </w:t>
      </w:r>
    </w:p>
    <w:p w:rsidR="00000000" w:rsidRDefault="00C74FAA" w:rsidP="00DC72F7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el </w:t>
      </w:r>
      <w:r w:rsidR="00DC72F7">
        <w:rPr>
          <w:rFonts w:ascii="Arial" w:hAnsi="Arial" w:cs="Arial"/>
        </w:rPr>
        <w:t>A</w:t>
      </w:r>
      <w:r>
        <w:rPr>
          <w:rFonts w:ascii="Arial" w:hAnsi="Arial" w:cs="Arial"/>
        </w:rPr>
        <w:t>rtículo 115 de la Ley 13.728</w:t>
      </w:r>
      <w:r>
        <w:rPr>
          <w:rFonts w:ascii="Arial" w:hAnsi="Arial" w:cs="Arial"/>
        </w:rPr>
        <w:t xml:space="preserve">, con las modificaciones introducidas por la </w:t>
      </w:r>
      <w:r w:rsidR="00FF3F77">
        <w:rPr>
          <w:rFonts w:ascii="Arial" w:hAnsi="Arial" w:cs="Arial"/>
        </w:rPr>
        <w:t>L</w:t>
      </w:r>
      <w:r>
        <w:rPr>
          <w:rFonts w:ascii="Arial" w:hAnsi="Arial" w:cs="Arial"/>
        </w:rPr>
        <w:t>ey 16.237,  establece que las Intendencias son responsables de la implementación de programas de asistencias social, de asistencia</w:t>
      </w:r>
      <w:r>
        <w:rPr>
          <w:rFonts w:ascii="Arial" w:hAnsi="Arial" w:cs="Arial"/>
        </w:rPr>
        <w:t xml:space="preserve"> técnica y suministro de materiales, que aseguren la adecuada evolución posterior de todas las unidades construidas;</w:t>
      </w:r>
    </w:p>
    <w:p w:rsidR="00000000" w:rsidRDefault="00C74FAA" w:rsidP="00FF3F77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7) </w:t>
      </w:r>
      <w:r>
        <w:rPr>
          <w:rFonts w:ascii="Arial" w:hAnsi="Arial" w:cs="Arial"/>
          <w:lang w:val="es-MX"/>
        </w:rPr>
        <w:t xml:space="preserve">que la Ordenanza Nº 77 de este Tribunal reglamenta la obligación de rendir cuenta documentada o comprobable de su versión, utilización </w:t>
      </w:r>
      <w:r>
        <w:rPr>
          <w:rFonts w:ascii="Arial" w:hAnsi="Arial" w:cs="Arial"/>
          <w:lang w:val="es-MX"/>
        </w:rPr>
        <w:t xml:space="preserve">o gestión de los fondos públicos o bienes del Estado percibidos en carácter de recaudador, depositario, pagador, administrador o custodia, con o sin autorización legal prevista en los artículos 132 y siguientes del TOCAF. Asimismo, el </w:t>
      </w:r>
      <w:r w:rsidR="00FF3F77">
        <w:rPr>
          <w:rFonts w:ascii="Arial" w:hAnsi="Arial" w:cs="Arial"/>
          <w:lang w:val="es-MX"/>
        </w:rPr>
        <w:t>A</w:t>
      </w:r>
      <w:proofErr w:type="spellStart"/>
      <w:r>
        <w:rPr>
          <w:rFonts w:ascii="Arial" w:hAnsi="Arial" w:cs="Arial"/>
        </w:rPr>
        <w:t>rtículo</w:t>
      </w:r>
      <w:proofErr w:type="spellEnd"/>
      <w:r>
        <w:rPr>
          <w:rFonts w:ascii="Arial" w:hAnsi="Arial" w:cs="Arial"/>
        </w:rPr>
        <w:t xml:space="preserve"> 416 de la Le</w:t>
      </w:r>
      <w:r>
        <w:rPr>
          <w:rFonts w:ascii="Arial" w:hAnsi="Arial" w:cs="Arial"/>
        </w:rPr>
        <w:t xml:space="preserve">y 17.930 establece que: “No podrán adelantarse fondos a rendir cuenta a personas físicas o jurídicas que no hayan presentado la rendición de cuentas de partidas recibidas con anterioridad”;                    </w:t>
      </w:r>
    </w:p>
    <w:p w:rsidR="00000000" w:rsidRDefault="00C74FAA" w:rsidP="00FF3F77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  <w:lang w:val="es-MX"/>
        </w:rPr>
        <w:t>)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</w:rPr>
        <w:t>que el procedimient</w:t>
      </w:r>
      <w:r>
        <w:rPr>
          <w:rFonts w:ascii="Arial" w:hAnsi="Arial" w:cs="Arial"/>
        </w:rPr>
        <w:t xml:space="preserve">o directo seguido para la selección del </w:t>
      </w:r>
      <w:proofErr w:type="spellStart"/>
      <w:r>
        <w:rPr>
          <w:rFonts w:ascii="Arial" w:hAnsi="Arial" w:cs="Arial"/>
        </w:rPr>
        <w:t>co</w:t>
      </w:r>
      <w:proofErr w:type="spellEnd"/>
      <w:r>
        <w:rPr>
          <w:rFonts w:ascii="Arial" w:hAnsi="Arial" w:cs="Arial"/>
        </w:rPr>
        <w:t xml:space="preserve">-contratante, atendiendo a la naturaleza jurídica de las partes del convenio, encuadra en la causal de excepción establecida en el </w:t>
      </w:r>
      <w:r w:rsidR="00FF3F77">
        <w:rPr>
          <w:rFonts w:ascii="Arial" w:hAnsi="Arial" w:cs="Arial"/>
        </w:rPr>
        <w:t>N</w:t>
      </w:r>
      <w:r>
        <w:rPr>
          <w:rFonts w:ascii="Arial" w:hAnsi="Arial" w:cs="Arial"/>
        </w:rPr>
        <w:t>umeral 1</w:t>
      </w:r>
      <w:r w:rsidR="00FF3F7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</w:t>
      </w:r>
      <w:r w:rsidR="00FF3F7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C) del Artículo 33, del TOCAF; </w:t>
      </w:r>
    </w:p>
    <w:p w:rsidR="00000000" w:rsidRDefault="00C74FAA" w:rsidP="00FF3F7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ATENTO: </w:t>
      </w:r>
      <w:r>
        <w:rPr>
          <w:rFonts w:ascii="Arial" w:hAnsi="Arial" w:cs="Arial"/>
        </w:rPr>
        <w:t>a lo precedentemente exp</w:t>
      </w:r>
      <w:r>
        <w:rPr>
          <w:rFonts w:ascii="Arial" w:hAnsi="Arial" w:cs="Arial"/>
        </w:rPr>
        <w:t xml:space="preserve">uesto; </w:t>
      </w:r>
    </w:p>
    <w:p w:rsidR="00000000" w:rsidRDefault="00C74FAA">
      <w:pPr>
        <w:pStyle w:val="Ttulo2"/>
      </w:pPr>
      <w:r>
        <w:t>EL TRIBUNAL ACUERDA</w:t>
      </w:r>
    </w:p>
    <w:p w:rsidR="00000000" w:rsidRDefault="00C74FAA" w:rsidP="00FF3F77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No formular observaciones al convenio suscrito </w:t>
      </w:r>
      <w:r w:rsidR="00FF3F7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el</w:t>
      </w:r>
      <w:r>
        <w:rPr>
          <w:rFonts w:ascii="Arial" w:hAnsi="Arial" w:cs="Arial"/>
          <w:lang w:val="es-MX"/>
        </w:rPr>
        <w:t xml:space="preserve"> Ministerio de Vivienda, Ordenamiento Territorial y Medio Ambiente y  la Intendencia Departamental de Canelones;</w:t>
      </w:r>
    </w:p>
    <w:p w:rsidR="00000000" w:rsidRDefault="00C74FAA" w:rsidP="00FF3F77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s-MX"/>
        </w:rPr>
        <w:t>2</w:t>
      </w:r>
      <w:r>
        <w:rPr>
          <w:rFonts w:ascii="Arial" w:hAnsi="Arial" w:cs="Arial"/>
          <w:b/>
          <w:bCs/>
          <w:lang w:val="es-MX"/>
        </w:rPr>
        <w:t xml:space="preserve">) </w:t>
      </w:r>
      <w:r>
        <w:rPr>
          <w:rFonts w:ascii="Arial" w:hAnsi="Arial" w:cs="Arial"/>
          <w:lang w:val="es-MX"/>
        </w:rPr>
        <w:t>Una vez dictadas las Resoluciones   por los orden</w:t>
      </w:r>
      <w:r>
        <w:rPr>
          <w:rFonts w:ascii="Arial" w:hAnsi="Arial" w:cs="Arial"/>
          <w:lang w:val="es-MX"/>
        </w:rPr>
        <w:t xml:space="preserve">adores competentes que autoricen la suscripción del </w:t>
      </w:r>
      <w:r>
        <w:rPr>
          <w:rFonts w:ascii="Arial" w:hAnsi="Arial" w:cs="Arial"/>
          <w:lang w:val="es-MX"/>
        </w:rPr>
        <w:t xml:space="preserve"> Convenio, </w:t>
      </w:r>
      <w:proofErr w:type="spellStart"/>
      <w:r>
        <w:rPr>
          <w:rFonts w:ascii="Arial" w:hAnsi="Arial" w:cs="Arial"/>
          <w:lang w:val="es-MX"/>
        </w:rPr>
        <w:t>cométese</w:t>
      </w:r>
      <w:proofErr w:type="spellEnd"/>
      <w:r>
        <w:rPr>
          <w:rFonts w:ascii="Arial" w:hAnsi="Arial" w:cs="Arial"/>
          <w:lang w:val="es-MX"/>
        </w:rPr>
        <w:t xml:space="preserve"> a</w:t>
      </w:r>
      <w:r w:rsidR="00572479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l</w:t>
      </w:r>
      <w:r w:rsidR="00572479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 Contador</w:t>
      </w:r>
      <w:r w:rsidR="00572479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 </w:t>
      </w:r>
      <w:r w:rsidR="00572479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Auditor</w:t>
      </w:r>
      <w:r w:rsidR="00572479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 </w:t>
      </w:r>
      <w:r w:rsidR="00572479">
        <w:rPr>
          <w:rFonts w:ascii="Arial" w:hAnsi="Arial" w:cs="Arial"/>
          <w:lang w:val="es-MX"/>
        </w:rPr>
        <w:t xml:space="preserve">destacada </w:t>
      </w:r>
      <w:r>
        <w:rPr>
          <w:rFonts w:ascii="Arial" w:hAnsi="Arial" w:cs="Arial"/>
          <w:lang w:val="es-MX"/>
        </w:rPr>
        <w:t xml:space="preserve">ante el MVOTMA la intervención del gasto de hasta </w:t>
      </w:r>
      <w:r>
        <w:rPr>
          <w:rFonts w:ascii="Arial" w:hAnsi="Arial" w:cs="Arial"/>
        </w:rPr>
        <w:t>$ 20.818.774;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 previo control de su imputación con cargo a grupo adecuado con disponibilidad suficiente,</w:t>
      </w:r>
      <w:r>
        <w:rPr>
          <w:rFonts w:ascii="Arial" w:hAnsi="Arial" w:cs="Arial"/>
          <w:lang w:val="es-MX"/>
        </w:rPr>
        <w:t xml:space="preserve"> y </w:t>
      </w:r>
      <w:r>
        <w:rPr>
          <w:rFonts w:ascii="Arial" w:hAnsi="Arial" w:cs="Arial"/>
        </w:rPr>
        <w:t xml:space="preserve">del cumplimiento de la rendición de cuentas de las transferencias efectuadas en el marco del convenio, conforme lo dispone el </w:t>
      </w:r>
      <w:r w:rsidR="00FF3F7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132 del TOCAF y el </w:t>
      </w:r>
      <w:r w:rsidR="00FF3F7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416 de la </w:t>
      </w:r>
      <w:r w:rsidR="00FF3F7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ey 17.930; </w:t>
      </w:r>
    </w:p>
    <w:p w:rsidR="00000000" w:rsidRDefault="00C74FAA" w:rsidP="00C74FAA">
      <w:pPr>
        <w:spacing w:line="360" w:lineRule="auto"/>
        <w:ind w:left="284" w:hanging="284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UY"/>
        </w:rPr>
        <w:t>Comunicar a</w:t>
      </w:r>
      <w:r w:rsidR="00572479">
        <w:rPr>
          <w:rFonts w:ascii="Arial" w:hAnsi="Arial" w:cs="Arial"/>
          <w:lang w:val="es-UY"/>
        </w:rPr>
        <w:t xml:space="preserve"> </w:t>
      </w:r>
      <w:r>
        <w:rPr>
          <w:rFonts w:ascii="Arial" w:hAnsi="Arial" w:cs="Arial"/>
          <w:lang w:val="es-UY"/>
        </w:rPr>
        <w:t>l</w:t>
      </w:r>
      <w:r w:rsidR="00572479">
        <w:rPr>
          <w:rFonts w:ascii="Arial" w:hAnsi="Arial" w:cs="Arial"/>
          <w:lang w:val="es-UY"/>
        </w:rPr>
        <w:t>a</w:t>
      </w:r>
      <w:r>
        <w:rPr>
          <w:rFonts w:ascii="Arial" w:hAnsi="Arial" w:cs="Arial"/>
          <w:lang w:val="es-UY"/>
        </w:rPr>
        <w:t xml:space="preserve"> Contador</w:t>
      </w:r>
      <w:r w:rsidR="00572479">
        <w:rPr>
          <w:rFonts w:ascii="Arial" w:hAnsi="Arial" w:cs="Arial"/>
          <w:lang w:val="es-UY"/>
        </w:rPr>
        <w:t>a</w:t>
      </w:r>
      <w:r>
        <w:rPr>
          <w:rFonts w:ascii="Arial" w:hAnsi="Arial" w:cs="Arial"/>
          <w:lang w:val="es-UY"/>
        </w:rPr>
        <w:t xml:space="preserve"> Auditor</w:t>
      </w:r>
      <w:r w:rsidR="00572479">
        <w:rPr>
          <w:rFonts w:ascii="Arial" w:hAnsi="Arial" w:cs="Arial"/>
          <w:lang w:val="es-UY"/>
        </w:rPr>
        <w:t>a</w:t>
      </w:r>
      <w:r>
        <w:rPr>
          <w:rFonts w:ascii="Arial" w:hAnsi="Arial" w:cs="Arial"/>
          <w:lang w:val="es-UY"/>
        </w:rPr>
        <w:t xml:space="preserve"> destacad</w:t>
      </w:r>
      <w:r w:rsidR="00572479">
        <w:rPr>
          <w:rFonts w:ascii="Arial" w:hAnsi="Arial" w:cs="Arial"/>
          <w:lang w:val="es-UY"/>
        </w:rPr>
        <w:t>a</w:t>
      </w:r>
      <w:r>
        <w:rPr>
          <w:rFonts w:ascii="Arial" w:hAnsi="Arial" w:cs="Arial"/>
          <w:lang w:val="es-UY"/>
        </w:rPr>
        <w:t xml:space="preserve"> ante el MVOTMA y al Con</w:t>
      </w:r>
      <w:r>
        <w:rPr>
          <w:rFonts w:ascii="Arial" w:hAnsi="Arial" w:cs="Arial"/>
          <w:lang w:val="es-UY"/>
        </w:rPr>
        <w:t>tador Delegado en</w:t>
      </w:r>
      <w:r>
        <w:rPr>
          <w:rFonts w:ascii="Arial" w:hAnsi="Arial" w:cs="Arial"/>
          <w:lang w:val="es-UY"/>
        </w:rPr>
        <w:t xml:space="preserve"> la Intendencia  de Canelones; y </w:t>
      </w:r>
    </w:p>
    <w:p w:rsidR="00000000" w:rsidRDefault="00C74FAA" w:rsidP="00C74F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s-UY"/>
        </w:rPr>
        <w:t>4</w:t>
      </w:r>
      <w:r>
        <w:rPr>
          <w:rFonts w:ascii="Arial" w:hAnsi="Arial" w:cs="Arial"/>
          <w:b/>
          <w:bCs/>
          <w:lang w:val="es-UY"/>
        </w:rPr>
        <w:t xml:space="preserve">) </w:t>
      </w:r>
      <w:r>
        <w:rPr>
          <w:rFonts w:ascii="Arial" w:hAnsi="Arial" w:cs="Arial"/>
        </w:rPr>
        <w:t>Devolver las actuaciones.</w:t>
      </w:r>
    </w:p>
    <w:p w:rsidR="00C74FAA" w:rsidRDefault="00C74FAA" w:rsidP="00C74FAA">
      <w:pPr>
        <w:spacing w:line="360" w:lineRule="auto"/>
        <w:jc w:val="both"/>
        <w:rPr>
          <w:rFonts w:ascii="Arial" w:hAnsi="Arial" w:cs="Arial"/>
        </w:rPr>
      </w:pPr>
    </w:p>
    <w:p w:rsidR="00C74FAA" w:rsidRDefault="00C74FAA" w:rsidP="00C74FAA">
      <w:pPr>
        <w:spacing w:line="360" w:lineRule="auto"/>
        <w:jc w:val="both"/>
        <w:rPr>
          <w:rFonts w:ascii="Arial" w:hAnsi="Arial" w:cs="Arial"/>
        </w:rPr>
      </w:pPr>
    </w:p>
    <w:p w:rsidR="00C74FAA" w:rsidRDefault="00C74FAA" w:rsidP="00C74FAA">
      <w:pPr>
        <w:spacing w:line="360" w:lineRule="auto"/>
        <w:jc w:val="both"/>
        <w:rPr>
          <w:rFonts w:ascii="Arial" w:hAnsi="Arial" w:cs="Arial"/>
        </w:rPr>
      </w:pPr>
    </w:p>
    <w:p w:rsidR="00C74FAA" w:rsidRDefault="00C74FAA" w:rsidP="00C74FAA">
      <w:pPr>
        <w:spacing w:line="360" w:lineRule="auto"/>
        <w:jc w:val="both"/>
        <w:rPr>
          <w:rFonts w:ascii="Arial" w:hAnsi="Arial" w:cs="Arial"/>
        </w:rPr>
      </w:pPr>
    </w:p>
    <w:p w:rsidR="00C74FAA" w:rsidRDefault="00C74FAA" w:rsidP="00C74FAA">
      <w:pPr>
        <w:spacing w:line="360" w:lineRule="auto"/>
        <w:jc w:val="both"/>
        <w:rPr>
          <w:rFonts w:ascii="Arial" w:hAnsi="Arial" w:cs="Arial"/>
        </w:rPr>
      </w:pPr>
    </w:p>
    <w:p w:rsidR="00C74FAA" w:rsidRDefault="00C74FAA" w:rsidP="00C74FAA">
      <w:pPr>
        <w:spacing w:line="360" w:lineRule="auto"/>
        <w:jc w:val="both"/>
        <w:rPr>
          <w:rFonts w:ascii="Arial" w:hAnsi="Arial" w:cs="Arial"/>
        </w:rPr>
      </w:pPr>
    </w:p>
    <w:p w:rsidR="00C74FAA" w:rsidRDefault="00C74FAA" w:rsidP="00C74FAA">
      <w:pPr>
        <w:spacing w:line="360" w:lineRule="auto"/>
        <w:jc w:val="both"/>
        <w:rPr>
          <w:rFonts w:ascii="Arial" w:hAnsi="Arial" w:cs="Arial"/>
        </w:rPr>
      </w:pPr>
    </w:p>
    <w:p w:rsidR="00C74FAA" w:rsidRDefault="00C74FAA" w:rsidP="00C74FA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C74FAA" w:rsidSect="00C74FAA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EF3AD1"/>
    <w:multiLevelType w:val="hybridMultilevel"/>
    <w:tmpl w:val="88C0991A"/>
    <w:lvl w:ilvl="0" w:tplc="087840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A21480"/>
    <w:multiLevelType w:val="hybridMultilevel"/>
    <w:tmpl w:val="19C607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B9"/>
    <w:rsid w:val="00572479"/>
    <w:rsid w:val="008C42B9"/>
    <w:rsid w:val="00C74FAA"/>
    <w:rsid w:val="00DC72F7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1416"/>
      <w:jc w:val="both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4F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FAA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1416"/>
      <w:jc w:val="both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4F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FA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6925</Characters>
  <Application>Microsoft Office Word</Application>
  <DocSecurity>4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CARPETA: 20131710001531</vt:lpstr>
    </vt:vector>
  </TitlesOfParts>
  <Company>TCR</Company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CARPETA: 20131710001531</dc:title>
  <dc:subject/>
  <dc:creator>39684641</dc:creator>
  <cp:keywords/>
  <cp:lastModifiedBy>Miriam Cristina Rivero</cp:lastModifiedBy>
  <cp:revision>2</cp:revision>
  <cp:lastPrinted>2014-01-09T11:04:00Z</cp:lastPrinted>
  <dcterms:created xsi:type="dcterms:W3CDTF">2014-01-09T11:04:00Z</dcterms:created>
  <dcterms:modified xsi:type="dcterms:W3CDTF">2014-01-09T11:04:00Z</dcterms:modified>
</cp:coreProperties>
</file>