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78" w:rsidRDefault="00E434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E43478" w:rsidRDefault="00E4347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43478" w:rsidRDefault="00E434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43478" w:rsidRDefault="00E4347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43478" w:rsidRDefault="00E434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E43478" w:rsidRDefault="00E434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43478" w:rsidRPr="00563757" w:rsidRDefault="00E43478" w:rsidP="00563757">
      <w:pPr>
        <w:tabs>
          <w:tab w:val="center" w:pos="4253"/>
        </w:tabs>
        <w:suppressAutoHyphens/>
        <w:jc w:val="center"/>
        <w:rPr>
          <w:rFonts w:cs="Arial"/>
          <w:b/>
          <w:lang w:val="es-MX"/>
        </w:rPr>
      </w:pPr>
      <w:r w:rsidRPr="00563757">
        <w:rPr>
          <w:rFonts w:cs="Arial"/>
          <w:b/>
          <w:lang w:val="es-ES_tradnl"/>
        </w:rPr>
        <w:t>(E. E. Nº</w:t>
      </w:r>
      <w:r>
        <w:rPr>
          <w:rFonts w:cs="Arial"/>
          <w:b/>
          <w:lang w:val="es-ES_tradnl"/>
        </w:rPr>
        <w:t xml:space="preserve"> 2013-17-1-0007312,</w:t>
      </w:r>
      <w:r w:rsidRPr="00563757">
        <w:rPr>
          <w:rFonts w:cs="Arial"/>
          <w:b/>
        </w:rPr>
        <w:t xml:space="preserve"> </w:t>
      </w:r>
      <w:r w:rsidRPr="00563757">
        <w:rPr>
          <w:rFonts w:cs="Arial"/>
          <w:b/>
          <w:lang w:val="es-MX"/>
        </w:rPr>
        <w:t>E. N°</w:t>
      </w:r>
      <w:r>
        <w:rPr>
          <w:rFonts w:cs="Arial"/>
          <w:b/>
          <w:lang w:val="es-MX"/>
        </w:rPr>
        <w:t xml:space="preserve"> 6317/13.</w:t>
      </w:r>
      <w:r w:rsidRPr="00563757">
        <w:rPr>
          <w:rFonts w:cs="Arial"/>
          <w:b/>
          <w:lang w:val="es-MX"/>
        </w:rPr>
        <w:t>)</w:t>
      </w:r>
    </w:p>
    <w:p w:rsidR="00E43478" w:rsidRDefault="00E43478"/>
    <w:p w:rsidR="00E43478" w:rsidRDefault="00E43478"/>
    <w:p w:rsidR="00D5026B" w:rsidRDefault="00D5026B" w:rsidP="00E43478">
      <w:pPr>
        <w:spacing w:line="360" w:lineRule="auto"/>
        <w:ind w:firstLine="708"/>
        <w:jc w:val="both"/>
        <w:rPr>
          <w:rFonts w:cs="Arial"/>
          <w:bCs/>
          <w:lang w:val="es-MX"/>
        </w:rPr>
      </w:pPr>
      <w:r w:rsidRPr="00D5026B">
        <w:rPr>
          <w:rFonts w:cs="Arial"/>
          <w:b/>
          <w:szCs w:val="24"/>
        </w:rPr>
        <w:t>VISTO:</w:t>
      </w:r>
      <w:r w:rsidRPr="00D5026B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las actuaciones remitidas por la Administración Nacional de Usinas y Trasmisiones Eléctricas,</w:t>
      </w:r>
      <w:r w:rsidRPr="00D5026B">
        <w:rPr>
          <w:rFonts w:cs="Arial"/>
          <w:bCs/>
          <w:szCs w:val="24"/>
          <w:lang w:val="es-ES_tradnl"/>
        </w:rPr>
        <w:t xml:space="preserve"> </w:t>
      </w:r>
      <w:r w:rsidR="00E948BD">
        <w:rPr>
          <w:rFonts w:cs="Arial"/>
          <w:bCs/>
          <w:szCs w:val="24"/>
          <w:lang w:val="es-ES_tradnl"/>
        </w:rPr>
        <w:t>relacionadas con la</w:t>
      </w:r>
      <w:r w:rsidR="00E948BD" w:rsidRPr="00E948BD">
        <w:rPr>
          <w:rFonts w:cs="Arial"/>
          <w:bCs/>
          <w:szCs w:val="24"/>
          <w:lang w:val="es-ES_tradnl"/>
        </w:rPr>
        <w:t xml:space="preserve"> </w:t>
      </w:r>
      <w:r w:rsidR="00E948BD" w:rsidRPr="00E948BD">
        <w:rPr>
          <w:rFonts w:cs="Arial"/>
          <w:bCs/>
          <w:lang w:val="es-MX"/>
        </w:rPr>
        <w:t>Licitación Pública</w:t>
      </w:r>
      <w:r w:rsidR="00E948BD">
        <w:rPr>
          <w:rFonts w:cs="Arial"/>
          <w:bCs/>
          <w:lang w:val="es-MX"/>
        </w:rPr>
        <w:t xml:space="preserve"> P44323  para el suministro y trabajos asociados al tendido de la segunda terna  de la línea Bonete</w:t>
      </w:r>
      <w:r w:rsidR="00290AF8">
        <w:rPr>
          <w:rFonts w:cs="Arial"/>
          <w:bCs/>
          <w:lang w:val="es-MX"/>
        </w:rPr>
        <w:t>-</w:t>
      </w:r>
      <w:r w:rsidR="00E948BD">
        <w:rPr>
          <w:rFonts w:cs="Arial"/>
          <w:bCs/>
          <w:lang w:val="es-MX"/>
        </w:rPr>
        <w:t xml:space="preserve"> Young </w:t>
      </w:r>
      <w:r w:rsidR="00290AF8">
        <w:rPr>
          <w:rFonts w:cs="Arial"/>
          <w:bCs/>
          <w:lang w:val="es-MX"/>
        </w:rPr>
        <w:t>-</w:t>
      </w:r>
      <w:r w:rsidR="00C50504">
        <w:rPr>
          <w:rFonts w:cs="Arial"/>
          <w:bCs/>
          <w:lang w:val="es-MX"/>
        </w:rPr>
        <w:t>Paysandú</w:t>
      </w:r>
      <w:r w:rsidR="00E948BD">
        <w:rPr>
          <w:rFonts w:cs="Arial"/>
          <w:bCs/>
          <w:lang w:val="es-MX"/>
        </w:rPr>
        <w:t xml:space="preserve"> de 150 </w:t>
      </w:r>
      <w:proofErr w:type="spellStart"/>
      <w:r w:rsidR="00E948BD">
        <w:rPr>
          <w:rFonts w:cs="Arial"/>
          <w:bCs/>
          <w:lang w:val="es-MX"/>
        </w:rPr>
        <w:t>kv</w:t>
      </w:r>
      <w:proofErr w:type="spellEnd"/>
      <w:r w:rsidR="00C50504">
        <w:rPr>
          <w:rFonts w:cs="Arial"/>
          <w:bCs/>
          <w:lang w:val="es-MX"/>
        </w:rPr>
        <w:t>;</w:t>
      </w:r>
    </w:p>
    <w:p w:rsidR="003E58D8" w:rsidRPr="003E58D8" w:rsidRDefault="00E43478" w:rsidP="00E43478">
      <w:pPr>
        <w:spacing w:line="360" w:lineRule="auto"/>
        <w:ind w:firstLine="708"/>
        <w:jc w:val="both"/>
        <w:rPr>
          <w:rFonts w:cs="Arial"/>
          <w:bCs/>
          <w:lang w:val="es-MX"/>
        </w:rPr>
      </w:pPr>
      <w:r w:rsidRPr="00C50504">
        <w:rPr>
          <w:rFonts w:cs="Arial"/>
          <w:b/>
          <w:bCs/>
          <w:lang w:val="es-MX"/>
        </w:rPr>
        <w:t>RESULTANDO</w:t>
      </w:r>
      <w:proofErr w:type="gramStart"/>
      <w:r w:rsidR="00C50504" w:rsidRPr="00C50504">
        <w:rPr>
          <w:rFonts w:cs="Arial"/>
          <w:b/>
          <w:bCs/>
          <w:lang w:val="es-MX"/>
        </w:rPr>
        <w:t xml:space="preserve">: </w:t>
      </w:r>
      <w:r w:rsidR="00C50504">
        <w:rPr>
          <w:rFonts w:cs="Arial"/>
          <w:b/>
          <w:bCs/>
          <w:lang w:val="es-MX"/>
        </w:rPr>
        <w:t xml:space="preserve"> 1</w:t>
      </w:r>
      <w:proofErr w:type="gramEnd"/>
      <w:r w:rsidR="00C50504">
        <w:rPr>
          <w:rFonts w:cs="Arial"/>
          <w:b/>
          <w:bCs/>
          <w:lang w:val="es-MX"/>
        </w:rPr>
        <w:t xml:space="preserve">) </w:t>
      </w:r>
      <w:r w:rsidR="00C50504" w:rsidRPr="00D5026B">
        <w:rPr>
          <w:rFonts w:cs="Arial"/>
          <w:bCs/>
          <w:szCs w:val="24"/>
        </w:rPr>
        <w:t>que</w:t>
      </w:r>
      <w:r w:rsidR="00C50504" w:rsidRPr="00D5026B">
        <w:rPr>
          <w:rFonts w:cs="Arial"/>
          <w:szCs w:val="24"/>
        </w:rPr>
        <w:t xml:space="preserve"> realizadas las publicacione</w:t>
      </w:r>
      <w:r w:rsidR="00290AF8">
        <w:rPr>
          <w:rFonts w:cs="Arial"/>
          <w:szCs w:val="24"/>
        </w:rPr>
        <w:t>s en forma legal,</w:t>
      </w:r>
      <w:r w:rsidR="00C50504">
        <w:rPr>
          <w:rFonts w:cs="Arial"/>
          <w:szCs w:val="24"/>
        </w:rPr>
        <w:t xml:space="preserve"> al acto de apertura de fecha 8.7.13</w:t>
      </w:r>
      <w:r w:rsidR="00C50504" w:rsidRPr="00D5026B">
        <w:rPr>
          <w:rFonts w:cs="Arial"/>
          <w:bCs/>
          <w:szCs w:val="24"/>
          <w:lang w:val="es-MX"/>
        </w:rPr>
        <w:t>,</w:t>
      </w:r>
      <w:r w:rsidR="00C50504" w:rsidRPr="00D5026B">
        <w:rPr>
          <w:rFonts w:cs="Arial"/>
          <w:bCs/>
          <w:szCs w:val="24"/>
        </w:rPr>
        <w:t xml:space="preserve"> </w:t>
      </w:r>
      <w:r w:rsidR="00C50504" w:rsidRPr="00D5026B">
        <w:rPr>
          <w:rFonts w:cs="Arial"/>
          <w:szCs w:val="24"/>
        </w:rPr>
        <w:t>se presentó</w:t>
      </w:r>
      <w:r w:rsidR="00C50504">
        <w:rPr>
          <w:rFonts w:cs="Arial"/>
          <w:szCs w:val="24"/>
        </w:rPr>
        <w:t xml:space="preserve"> </w:t>
      </w:r>
      <w:r w:rsidR="003E58D8" w:rsidRPr="003E58D8">
        <w:rPr>
          <w:rFonts w:cs="Arial"/>
          <w:bCs/>
          <w:lang w:val="es-MX"/>
        </w:rPr>
        <w:t xml:space="preserve"> </w:t>
      </w:r>
      <w:proofErr w:type="spellStart"/>
      <w:r w:rsidR="003E58D8" w:rsidRPr="003E58D8">
        <w:rPr>
          <w:rFonts w:cs="Arial"/>
          <w:bCs/>
          <w:lang w:val="es-MX"/>
        </w:rPr>
        <w:t>Argencobra</w:t>
      </w:r>
      <w:proofErr w:type="spellEnd"/>
      <w:r w:rsidR="003E58D8" w:rsidRPr="003E58D8">
        <w:rPr>
          <w:rFonts w:cs="Arial"/>
          <w:bCs/>
          <w:lang w:val="es-MX"/>
        </w:rPr>
        <w:t xml:space="preserve">  SA</w:t>
      </w:r>
      <w:r w:rsidR="00C50504">
        <w:rPr>
          <w:rFonts w:cs="Arial"/>
          <w:bCs/>
          <w:lang w:val="es-MX"/>
        </w:rPr>
        <w:t xml:space="preserve">, </w:t>
      </w:r>
      <w:r w:rsidR="003E58D8" w:rsidRPr="003E58D8">
        <w:rPr>
          <w:rFonts w:cs="Arial"/>
          <w:bCs/>
          <w:lang w:val="es-MX"/>
        </w:rPr>
        <w:t xml:space="preserve"> </w:t>
      </w:r>
      <w:proofErr w:type="spellStart"/>
      <w:r w:rsidR="003E58D8" w:rsidRPr="003E58D8">
        <w:rPr>
          <w:rFonts w:cs="Arial"/>
          <w:bCs/>
          <w:lang w:val="es-MX"/>
        </w:rPr>
        <w:t>Montelecnor</w:t>
      </w:r>
      <w:proofErr w:type="spellEnd"/>
      <w:r w:rsidR="003E58D8" w:rsidRPr="003E58D8">
        <w:rPr>
          <w:rFonts w:cs="Arial"/>
          <w:bCs/>
          <w:lang w:val="es-MX"/>
        </w:rPr>
        <w:t xml:space="preserve"> SA</w:t>
      </w:r>
      <w:r w:rsidR="00CB26AC">
        <w:rPr>
          <w:rFonts w:cs="Arial"/>
          <w:bCs/>
          <w:lang w:val="es-MX"/>
        </w:rPr>
        <w:t xml:space="preserve"> y </w:t>
      </w:r>
      <w:proofErr w:type="spellStart"/>
      <w:r w:rsidR="003E58D8" w:rsidRPr="003E58D8">
        <w:rPr>
          <w:rFonts w:cs="Arial"/>
          <w:bCs/>
          <w:lang w:val="es-MX"/>
        </w:rPr>
        <w:t>Teyma</w:t>
      </w:r>
      <w:proofErr w:type="spellEnd"/>
      <w:r w:rsidR="003E58D8" w:rsidRPr="003E58D8">
        <w:rPr>
          <w:rFonts w:cs="Arial"/>
          <w:bCs/>
          <w:lang w:val="es-MX"/>
        </w:rPr>
        <w:t xml:space="preserve"> Uruguay SA</w:t>
      </w:r>
      <w:r w:rsidR="00C50504">
        <w:rPr>
          <w:rFonts w:cs="Arial"/>
          <w:bCs/>
          <w:lang w:val="es-MX"/>
        </w:rPr>
        <w:t xml:space="preserve">; </w:t>
      </w:r>
    </w:p>
    <w:p w:rsidR="003E58D8" w:rsidRDefault="00C50504" w:rsidP="00E43478">
      <w:pPr>
        <w:spacing w:line="360" w:lineRule="auto"/>
        <w:ind w:firstLine="2694"/>
        <w:jc w:val="both"/>
      </w:pPr>
      <w:r w:rsidRPr="00E43478">
        <w:rPr>
          <w:rFonts w:cs="Arial"/>
          <w:b/>
          <w:bCs/>
          <w:lang w:val="es-MX"/>
        </w:rPr>
        <w:t>2)</w:t>
      </w:r>
      <w:r>
        <w:rPr>
          <w:rFonts w:cs="Arial"/>
          <w:bCs/>
          <w:lang w:val="es-MX"/>
        </w:rPr>
        <w:t xml:space="preserve"> que con fecha 3.10.13 la Comisión Asesora de Adjudicaciones </w:t>
      </w:r>
      <w:r w:rsidR="00ED6F54">
        <w:t xml:space="preserve">aconsejó </w:t>
      </w:r>
      <w:r w:rsidR="003A48BD">
        <w:t xml:space="preserve">adjudicar  por menor precio y cumplir sustancialmente con los requerimientos del Pliego de Condiciones, a </w:t>
      </w:r>
      <w:r w:rsidR="003E58D8" w:rsidRPr="003E58D8">
        <w:t xml:space="preserve"> </w:t>
      </w:r>
      <w:proofErr w:type="spellStart"/>
      <w:r w:rsidR="003E58D8" w:rsidRPr="003E58D8">
        <w:t>Mont</w:t>
      </w:r>
      <w:r w:rsidR="00290AF8">
        <w:t>elecnor</w:t>
      </w:r>
      <w:proofErr w:type="spellEnd"/>
      <w:r w:rsidR="00290AF8">
        <w:t xml:space="preserve"> SA por un total de $ 313:</w:t>
      </w:r>
      <w:r w:rsidR="003E58D8" w:rsidRPr="003E58D8">
        <w:t>.928.626</w:t>
      </w:r>
      <w:r w:rsidR="00290AF8">
        <w:t>,00.-</w:t>
      </w:r>
      <w:r w:rsidR="003E58D8" w:rsidRPr="003E58D8">
        <w:t xml:space="preserve">: que corresponde Suministros y repuestos obligatorios total DAP sitio de obra:  U$S 5.575.256,58 </w:t>
      </w:r>
      <w:proofErr w:type="spellStart"/>
      <w:r w:rsidR="003E58D8" w:rsidRPr="003E58D8">
        <w:t>mas</w:t>
      </w:r>
      <w:proofErr w:type="spellEnd"/>
      <w:r w:rsidR="003E58D8" w:rsidRPr="003E58D8">
        <w:t xml:space="preserve"> total previsión para </w:t>
      </w:r>
      <w:r w:rsidR="003E58D8" w:rsidRPr="00E43478">
        <w:rPr>
          <w:spacing w:val="8"/>
        </w:rPr>
        <w:t xml:space="preserve">imprevistos U$S 836.288,49; total para gastos y recargos de importación </w:t>
      </w:r>
      <w:r w:rsidR="003E58D8" w:rsidRPr="00E43478">
        <w:rPr>
          <w:spacing w:val="-10"/>
        </w:rPr>
        <w:t>U$S 2.766.378 siendo el total U$S 9.177.923,07 equivalente a $</w:t>
      </w:r>
      <w:r w:rsidR="003E58D8" w:rsidRPr="003E58D8">
        <w:t xml:space="preserve"> 191.066.002,47</w:t>
      </w:r>
      <w:r>
        <w:t xml:space="preserve">, </w:t>
      </w:r>
      <w:r w:rsidR="003E58D8" w:rsidRPr="00E43478">
        <w:rPr>
          <w:spacing w:val="12"/>
        </w:rPr>
        <w:t xml:space="preserve">Total tabla 1.2 Obra Local  $ 86.274.018,21 ,previsión para imprevistos </w:t>
      </w:r>
      <w:r w:rsidR="003E58D8" w:rsidRPr="00E43478">
        <w:rPr>
          <w:spacing w:val="-10"/>
        </w:rPr>
        <w:t>$ 12.941.102,77. Previsión  para ajuste de precios de precios: $</w:t>
      </w:r>
      <w:r w:rsidR="003E58D8" w:rsidRPr="003E58D8">
        <w:t xml:space="preserve"> 118.465.128,19</w:t>
      </w:r>
      <w:r>
        <w:t xml:space="preserve">, </w:t>
      </w:r>
      <w:r w:rsidR="003E58D8" w:rsidRPr="00E43478">
        <w:rPr>
          <w:spacing w:val="8"/>
        </w:rPr>
        <w:t>Tabla 1.3 servicios conexos total $ 2.066.977,8</w:t>
      </w:r>
      <w:r w:rsidR="00202194" w:rsidRPr="00E43478">
        <w:rPr>
          <w:spacing w:val="8"/>
        </w:rPr>
        <w:t xml:space="preserve">4, previsión para </w:t>
      </w:r>
      <w:r w:rsidR="00202194" w:rsidRPr="00E43478">
        <w:rPr>
          <w:spacing w:val="-8"/>
        </w:rPr>
        <w:t xml:space="preserve">imprevistos  $ </w:t>
      </w:r>
      <w:r w:rsidR="003E58D8" w:rsidRPr="00E43478">
        <w:rPr>
          <w:spacing w:val="-8"/>
        </w:rPr>
        <w:t>310.046,68: Tabla 1.4 Ensayos incluidos imprevistos $</w:t>
      </w:r>
      <w:r w:rsidR="003E58D8" w:rsidRPr="003E58D8">
        <w:t xml:space="preserve"> 2.020.470,82</w:t>
      </w:r>
      <w:r>
        <w:t>;</w:t>
      </w:r>
      <w:r w:rsidR="00202194">
        <w:t xml:space="preserve"> Monto total adjudicado </w:t>
      </w:r>
      <w:r w:rsidR="00CB26AC">
        <w:t xml:space="preserve"> $ 313:928.626,00(incluye impuestos, ajustes e </w:t>
      </w:r>
      <w:r w:rsidR="00E43478">
        <w:t>IVA</w:t>
      </w:r>
      <w:r w:rsidR="00CB26AC">
        <w:t>)</w:t>
      </w:r>
      <w:r w:rsidR="00E43478">
        <w:t>;</w:t>
      </w:r>
      <w:r w:rsidR="00CB26AC">
        <w:t xml:space="preserve"> </w:t>
      </w:r>
    </w:p>
    <w:p w:rsidR="003E58D8" w:rsidRDefault="00C50504" w:rsidP="00E43478">
      <w:pPr>
        <w:spacing w:line="360" w:lineRule="auto"/>
        <w:ind w:firstLine="2694"/>
        <w:jc w:val="both"/>
        <w:rPr>
          <w:bCs/>
          <w:lang w:val="es-UY"/>
        </w:rPr>
      </w:pPr>
      <w:r w:rsidRPr="00E43478">
        <w:rPr>
          <w:b/>
        </w:rPr>
        <w:t>3)</w:t>
      </w:r>
      <w:r>
        <w:t xml:space="preserve"> que con fecha 17.10.13 se dio cumplimiento a lo establecido en el </w:t>
      </w:r>
      <w:r w:rsidR="00E43478">
        <w:t>A</w:t>
      </w:r>
      <w:r>
        <w:t>rt</w:t>
      </w:r>
      <w:r w:rsidR="00E43478">
        <w:t>ículo</w:t>
      </w:r>
      <w:r>
        <w:t xml:space="preserve"> </w:t>
      </w:r>
      <w:r w:rsidR="003E58D8" w:rsidRPr="00C50504">
        <w:rPr>
          <w:bCs/>
          <w:lang w:val="es-UY"/>
        </w:rPr>
        <w:t xml:space="preserve"> 67 del T.O.C.</w:t>
      </w:r>
      <w:r w:rsidRPr="00C50504">
        <w:rPr>
          <w:bCs/>
          <w:lang w:val="es-UY"/>
        </w:rPr>
        <w:t>A.F</w:t>
      </w:r>
      <w:r w:rsidR="000B53D0">
        <w:rPr>
          <w:bCs/>
          <w:lang w:val="es-UY"/>
        </w:rPr>
        <w:t xml:space="preserve">; </w:t>
      </w:r>
    </w:p>
    <w:p w:rsidR="003E58D8" w:rsidRDefault="00C50504" w:rsidP="00E43478">
      <w:pPr>
        <w:spacing w:line="360" w:lineRule="auto"/>
        <w:ind w:firstLine="2694"/>
        <w:jc w:val="both"/>
        <w:rPr>
          <w:rFonts w:cs="Arial"/>
          <w:lang w:val="es-MX"/>
        </w:rPr>
      </w:pPr>
      <w:r w:rsidRPr="00E43478">
        <w:rPr>
          <w:b/>
          <w:bCs/>
          <w:lang w:val="es-UY"/>
        </w:rPr>
        <w:lastRenderedPageBreak/>
        <w:t>4)</w:t>
      </w:r>
      <w:r>
        <w:rPr>
          <w:bCs/>
          <w:lang w:val="es-UY"/>
        </w:rPr>
        <w:t xml:space="preserve">  que por</w:t>
      </w:r>
      <w:r w:rsidRPr="00202194">
        <w:rPr>
          <w:bCs/>
          <w:lang w:val="es-UY"/>
        </w:rPr>
        <w:t xml:space="preserve"> </w:t>
      </w:r>
      <w:r w:rsidR="003E58D8" w:rsidRPr="00202194">
        <w:rPr>
          <w:bCs/>
        </w:rPr>
        <w:t>Resolución</w:t>
      </w:r>
      <w:r w:rsidRPr="00202194">
        <w:rPr>
          <w:bCs/>
        </w:rPr>
        <w:t xml:space="preserve"> 097/13 </w:t>
      </w:r>
      <w:r w:rsidR="003E58D8" w:rsidRPr="00202194">
        <w:rPr>
          <w:bCs/>
        </w:rPr>
        <w:t xml:space="preserve"> de </w:t>
      </w:r>
      <w:r w:rsidRPr="00202194">
        <w:rPr>
          <w:bCs/>
        </w:rPr>
        <w:t xml:space="preserve"> fecha 3</w:t>
      </w:r>
      <w:r w:rsidR="003E58D8" w:rsidRPr="00202194">
        <w:rPr>
          <w:bCs/>
        </w:rPr>
        <w:t>1.</w:t>
      </w:r>
      <w:r w:rsidR="003E58D8" w:rsidRPr="00202194">
        <w:t>10.13</w:t>
      </w:r>
      <w:r w:rsidRPr="00202194">
        <w:t xml:space="preserve">  dictada por el Gerente General </w:t>
      </w:r>
      <w:r w:rsidR="003E58D8" w:rsidRPr="003E58D8">
        <w:rPr>
          <w:rFonts w:cs="Arial"/>
          <w:bCs/>
          <w:lang w:val="es-MX"/>
        </w:rPr>
        <w:t>por atribuciones delegadas</w:t>
      </w:r>
      <w:r w:rsidR="00CB26AC">
        <w:rPr>
          <w:rFonts w:cs="Arial"/>
          <w:bCs/>
          <w:lang w:val="es-MX"/>
        </w:rPr>
        <w:t xml:space="preserve"> adjudicó </w:t>
      </w:r>
      <w:r w:rsidR="00202194">
        <w:rPr>
          <w:rFonts w:cs="Arial"/>
          <w:bCs/>
          <w:lang w:val="es-MX"/>
        </w:rPr>
        <w:t xml:space="preserve">a </w:t>
      </w:r>
      <w:proofErr w:type="spellStart"/>
      <w:r w:rsidR="00202194">
        <w:rPr>
          <w:rFonts w:cs="Arial"/>
          <w:bCs/>
          <w:lang w:val="es-MX"/>
        </w:rPr>
        <w:t>Montelecnor</w:t>
      </w:r>
      <w:proofErr w:type="spellEnd"/>
      <w:r w:rsidR="00202194">
        <w:rPr>
          <w:rFonts w:cs="Arial"/>
          <w:bCs/>
          <w:lang w:val="es-MX"/>
        </w:rPr>
        <w:t xml:space="preserve">  SA  según lo aconsejado por la  </w:t>
      </w:r>
      <w:r w:rsidR="00B23BFF">
        <w:rPr>
          <w:rFonts w:cs="Arial"/>
          <w:bCs/>
          <w:lang w:val="es-MX"/>
        </w:rPr>
        <w:t>Comisión</w:t>
      </w:r>
      <w:r w:rsidR="00202194">
        <w:rPr>
          <w:rFonts w:cs="Arial"/>
          <w:bCs/>
          <w:lang w:val="es-MX"/>
        </w:rPr>
        <w:t xml:space="preserve"> Asesora (resultando 2)</w:t>
      </w:r>
      <w:r w:rsidR="00B23BFF">
        <w:rPr>
          <w:rFonts w:cs="Arial"/>
          <w:lang w:val="es-MX"/>
        </w:rPr>
        <w:t xml:space="preserve">; </w:t>
      </w:r>
    </w:p>
    <w:p w:rsidR="003E58D8" w:rsidRPr="003E58D8" w:rsidRDefault="000B53D0" w:rsidP="00E43478">
      <w:pPr>
        <w:spacing w:line="360" w:lineRule="auto"/>
        <w:ind w:firstLine="2694"/>
        <w:jc w:val="both"/>
        <w:rPr>
          <w:rFonts w:cs="Arial"/>
          <w:bCs/>
          <w:lang w:val="es-MX"/>
        </w:rPr>
      </w:pPr>
      <w:r w:rsidRPr="00E43478">
        <w:rPr>
          <w:rFonts w:cs="Arial"/>
          <w:b/>
          <w:bCs/>
          <w:lang w:val="es-MX"/>
        </w:rPr>
        <w:t>5)</w:t>
      </w:r>
      <w:r>
        <w:rPr>
          <w:rFonts w:cs="Arial"/>
          <w:bCs/>
          <w:lang w:val="es-MX"/>
        </w:rPr>
        <w:t xml:space="preserve"> que con fecha </w:t>
      </w:r>
      <w:r w:rsidR="003E58D8" w:rsidRPr="003E58D8">
        <w:rPr>
          <w:rFonts w:cs="Arial"/>
          <w:bCs/>
          <w:lang w:val="es-MX"/>
        </w:rPr>
        <w:t>15.10.13</w:t>
      </w:r>
      <w:r w:rsidR="00CB26AC">
        <w:rPr>
          <w:rFonts w:cs="Arial"/>
          <w:bCs/>
          <w:lang w:val="es-MX"/>
        </w:rPr>
        <w:t>,</w:t>
      </w:r>
      <w:r>
        <w:rPr>
          <w:rFonts w:cs="Arial"/>
          <w:bCs/>
          <w:lang w:val="es-MX"/>
        </w:rPr>
        <w:t xml:space="preserve">  s</w:t>
      </w:r>
      <w:r w:rsidR="003E58D8" w:rsidRPr="003E58D8">
        <w:rPr>
          <w:rFonts w:cs="Arial"/>
          <w:bCs/>
          <w:lang w:val="es-MX"/>
        </w:rPr>
        <w:t xml:space="preserve">e informa que teniendo en cuenta  las asignaciones aprobadas  según Decreto 52/2013  de fecha 6..2.13 a precios enero-junio 2012 corresponde  expresar que el Grupo 3 ha sido imputado sin disponibilidad para comprometer el monto de </w:t>
      </w:r>
      <w:r w:rsidR="004F2527">
        <w:rPr>
          <w:rFonts w:cs="Arial"/>
          <w:bCs/>
          <w:lang w:val="es-MX"/>
        </w:rPr>
        <w:t xml:space="preserve">                   </w:t>
      </w:r>
      <w:bookmarkStart w:id="0" w:name="_GoBack"/>
      <w:bookmarkEnd w:id="0"/>
      <w:r w:rsidR="003E58D8" w:rsidRPr="003E58D8">
        <w:rPr>
          <w:rFonts w:cs="Arial"/>
          <w:bCs/>
          <w:lang w:val="es-MX"/>
        </w:rPr>
        <w:t>U$S 7.582.639,63 y $ 105.013.335 en el Ejercicio 2013 e incorporar en el ejercicio 2014</w:t>
      </w:r>
      <w:r>
        <w:rPr>
          <w:rFonts w:cs="Arial"/>
          <w:bCs/>
          <w:lang w:val="es-MX"/>
        </w:rPr>
        <w:t>;</w:t>
      </w:r>
    </w:p>
    <w:p w:rsidR="003E58D8" w:rsidRDefault="000B53D0" w:rsidP="00791000">
      <w:pPr>
        <w:spacing w:line="360" w:lineRule="auto"/>
        <w:ind w:firstLine="708"/>
        <w:jc w:val="both"/>
        <w:rPr>
          <w:rFonts w:cs="Arial"/>
          <w:bCs/>
          <w:lang w:val="es-MX"/>
        </w:rPr>
      </w:pPr>
      <w:r w:rsidRPr="00791000">
        <w:rPr>
          <w:rFonts w:cs="Arial"/>
          <w:b/>
          <w:bCs/>
          <w:lang w:val="es-MX"/>
        </w:rPr>
        <w:t>CONSIDERANDO:</w:t>
      </w:r>
      <w:r w:rsidRPr="000B53D0">
        <w:rPr>
          <w:rFonts w:cs="Arial"/>
          <w:b/>
          <w:bCs/>
          <w:lang w:val="es-MX"/>
        </w:rPr>
        <w:t xml:space="preserve"> 1)</w:t>
      </w:r>
      <w:r>
        <w:rPr>
          <w:rFonts w:cs="Arial"/>
          <w:bCs/>
          <w:lang w:val="es-MX"/>
        </w:rPr>
        <w:t xml:space="preserve"> que el procedimiento se ajustó a lo </w:t>
      </w:r>
      <w:r>
        <w:rPr>
          <w:rFonts w:cs="Arial"/>
          <w:lang w:val="es-MX"/>
        </w:rPr>
        <w:t xml:space="preserve">dispuesto por el </w:t>
      </w:r>
      <w:r w:rsidR="00791000">
        <w:rPr>
          <w:rFonts w:cs="Arial"/>
          <w:lang w:val="es-MX"/>
        </w:rPr>
        <w:t>A</w:t>
      </w:r>
      <w:r>
        <w:rPr>
          <w:rFonts w:cs="Arial"/>
          <w:lang w:val="es-MX"/>
        </w:rPr>
        <w:t>rtículo 33 y siguientes del T.O.C.A.F</w:t>
      </w:r>
      <w:r>
        <w:rPr>
          <w:rFonts w:cs="Arial"/>
          <w:bCs/>
          <w:lang w:val="es-MX"/>
        </w:rPr>
        <w:t>;</w:t>
      </w:r>
    </w:p>
    <w:p w:rsidR="00CB26AC" w:rsidRDefault="000B53D0" w:rsidP="00791000">
      <w:pPr>
        <w:spacing w:line="360" w:lineRule="auto"/>
        <w:ind w:firstLine="2835"/>
        <w:jc w:val="both"/>
        <w:rPr>
          <w:rFonts w:cs="Arial"/>
          <w:bCs/>
          <w:lang w:val="es-MX"/>
        </w:rPr>
      </w:pPr>
      <w:r w:rsidRPr="000B53D0">
        <w:rPr>
          <w:rFonts w:cs="Arial"/>
          <w:b/>
          <w:bCs/>
          <w:lang w:val="es-MX"/>
        </w:rPr>
        <w:t xml:space="preserve">2) </w:t>
      </w:r>
      <w:r w:rsidR="00CB26AC">
        <w:rPr>
          <w:rFonts w:cs="Arial"/>
          <w:b/>
          <w:bCs/>
          <w:lang w:val="es-MX"/>
        </w:rPr>
        <w:t xml:space="preserve"> </w:t>
      </w:r>
      <w:r w:rsidR="00CB26AC">
        <w:rPr>
          <w:rFonts w:cs="Arial"/>
          <w:bCs/>
          <w:lang w:val="es-MX"/>
        </w:rPr>
        <w:t xml:space="preserve">que el </w:t>
      </w:r>
      <w:r w:rsidR="00791000">
        <w:rPr>
          <w:rFonts w:cs="Arial"/>
          <w:bCs/>
          <w:lang w:val="es-MX"/>
        </w:rPr>
        <w:t>A</w:t>
      </w:r>
      <w:r w:rsidR="00CB26AC">
        <w:rPr>
          <w:rFonts w:cs="Arial"/>
          <w:bCs/>
          <w:lang w:val="es-MX"/>
        </w:rPr>
        <w:t>rt</w:t>
      </w:r>
      <w:r w:rsidR="00791000">
        <w:rPr>
          <w:rFonts w:cs="Arial"/>
          <w:bCs/>
          <w:lang w:val="es-MX"/>
        </w:rPr>
        <w:t>ículo</w:t>
      </w:r>
      <w:r w:rsidR="00CB26AC">
        <w:rPr>
          <w:rFonts w:cs="Arial"/>
          <w:bCs/>
          <w:lang w:val="es-MX"/>
        </w:rPr>
        <w:t xml:space="preserve"> 14.1; condiciones que U</w:t>
      </w:r>
      <w:r w:rsidR="00791000">
        <w:rPr>
          <w:rFonts w:cs="Arial"/>
          <w:bCs/>
          <w:lang w:val="es-MX"/>
        </w:rPr>
        <w:t>TE</w:t>
      </w:r>
      <w:r w:rsidR="00CB26AC">
        <w:rPr>
          <w:rFonts w:cs="Arial"/>
          <w:bCs/>
          <w:lang w:val="es-MX"/>
        </w:rPr>
        <w:t xml:space="preserve"> se reserva el derecho de rechazar las ofertas entre otros casos  establece: a) el oferente  no acredite  capacidad suficiente  para llevar a cabo el objeto de la presente licitación, b) el oferente posea antecedentes negativos respecto a incumplimientos  anteriores con esta Administración</w:t>
      </w:r>
      <w:r w:rsidR="00791000">
        <w:rPr>
          <w:rFonts w:cs="Arial"/>
          <w:bCs/>
          <w:lang w:val="es-MX"/>
        </w:rPr>
        <w:t>;</w:t>
      </w:r>
      <w:r w:rsidR="00CB26AC">
        <w:rPr>
          <w:rFonts w:cs="Arial"/>
          <w:bCs/>
          <w:lang w:val="es-MX"/>
        </w:rPr>
        <w:t xml:space="preserve"> c) la oferta contenga omisiones, errores, cotizaciones ilegibles, alteraciones, que no  hayan sido  salvados  o cotice ítems que no se solicitan  en la licitación, d) el oferente no demuestre l</w:t>
      </w:r>
      <w:r w:rsidR="00791000">
        <w:rPr>
          <w:rFonts w:cs="Arial"/>
          <w:bCs/>
          <w:lang w:val="es-MX"/>
        </w:rPr>
        <w:t>a experiencia solicitada en el L</w:t>
      </w:r>
      <w:r w:rsidR="00CB26AC">
        <w:rPr>
          <w:rFonts w:cs="Arial"/>
          <w:bCs/>
          <w:lang w:val="es-MX"/>
        </w:rPr>
        <w:t xml:space="preserve">iteral </w:t>
      </w:r>
      <w:r w:rsidR="00791000">
        <w:rPr>
          <w:rFonts w:cs="Arial"/>
          <w:bCs/>
          <w:lang w:val="es-MX"/>
        </w:rPr>
        <w:t>F</w:t>
      </w:r>
      <w:r w:rsidR="00CB26AC">
        <w:rPr>
          <w:rFonts w:cs="Arial"/>
          <w:bCs/>
          <w:lang w:val="es-MX"/>
        </w:rPr>
        <w:t xml:space="preserve">) del Punto 12.1 del Pliego de Condiciones, e) se establezcan </w:t>
      </w:r>
      <w:proofErr w:type="spellStart"/>
      <w:r w:rsidR="00CB26AC">
        <w:rPr>
          <w:rFonts w:cs="Arial"/>
          <w:bCs/>
          <w:lang w:val="es-MX"/>
        </w:rPr>
        <w:t>clausulas</w:t>
      </w:r>
      <w:proofErr w:type="spellEnd"/>
      <w:r w:rsidR="00CB26AC">
        <w:rPr>
          <w:rFonts w:cs="Arial"/>
          <w:bCs/>
          <w:lang w:val="es-MX"/>
        </w:rPr>
        <w:t xml:space="preserve"> que condicionen el mantenimiento de la oferta  en alguna o que indiquen otros plazos, f) los precios estén sujetos a confirmación o condicionados en forma alguna;</w:t>
      </w:r>
    </w:p>
    <w:p w:rsidR="00CB26AC" w:rsidRPr="00CB26AC" w:rsidRDefault="00CB26AC" w:rsidP="00791000">
      <w:pPr>
        <w:spacing w:line="360" w:lineRule="auto"/>
        <w:ind w:firstLine="2835"/>
        <w:jc w:val="both"/>
        <w:rPr>
          <w:rFonts w:cs="Arial"/>
          <w:bCs/>
          <w:lang w:val="es-MX"/>
        </w:rPr>
      </w:pPr>
      <w:r w:rsidRPr="00CB26AC">
        <w:rPr>
          <w:rFonts w:cs="Arial"/>
          <w:b/>
          <w:bCs/>
          <w:lang w:val="es-MX"/>
        </w:rPr>
        <w:t>3)</w:t>
      </w:r>
      <w:r>
        <w:rPr>
          <w:rFonts w:cs="Arial"/>
          <w:b/>
          <w:bCs/>
          <w:lang w:val="es-MX"/>
        </w:rPr>
        <w:t xml:space="preserve"> </w:t>
      </w:r>
      <w:r>
        <w:rPr>
          <w:rFonts w:cs="Arial"/>
          <w:bCs/>
          <w:lang w:val="es-MX"/>
        </w:rPr>
        <w:t xml:space="preserve"> que los apartamientos previstos en  el art 14.1 referidos en el considerando anterior son </w:t>
      </w:r>
      <w:r w:rsidR="00D073BF">
        <w:rPr>
          <w:rFonts w:cs="Arial"/>
          <w:bCs/>
          <w:lang w:val="es-MX"/>
        </w:rPr>
        <w:t xml:space="preserve">de carácter </w:t>
      </w:r>
      <w:r>
        <w:rPr>
          <w:rFonts w:cs="Arial"/>
          <w:bCs/>
          <w:lang w:val="es-MX"/>
        </w:rPr>
        <w:t>sustancial</w:t>
      </w:r>
      <w:r w:rsidR="00D073BF">
        <w:rPr>
          <w:rFonts w:cs="Arial"/>
          <w:bCs/>
          <w:lang w:val="es-MX"/>
        </w:rPr>
        <w:t xml:space="preserve"> y </w:t>
      </w:r>
      <w:r>
        <w:rPr>
          <w:rFonts w:cs="Arial"/>
          <w:bCs/>
          <w:lang w:val="es-MX"/>
        </w:rPr>
        <w:t xml:space="preserve"> fundamentales,  y </w:t>
      </w:r>
      <w:r w:rsidR="00D073BF">
        <w:rPr>
          <w:rFonts w:cs="Arial"/>
          <w:bCs/>
          <w:lang w:val="es-MX"/>
        </w:rPr>
        <w:t>p</w:t>
      </w:r>
      <w:r>
        <w:rPr>
          <w:rFonts w:cs="Arial"/>
          <w:bCs/>
          <w:lang w:val="es-MX"/>
        </w:rPr>
        <w:t xml:space="preserve">or ello  en el caso de que se constaten </w:t>
      </w:r>
      <w:r w:rsidR="00A06E48">
        <w:rPr>
          <w:rFonts w:cs="Arial"/>
          <w:bCs/>
          <w:lang w:val="es-MX"/>
        </w:rPr>
        <w:t xml:space="preserve"> los mismos en las ofertas que los contengan deben ser rechazadas o descartadas, no pudiendo quedar librado a la voluntad de la Administración  el aceptarlas o  rechazarlas</w:t>
      </w:r>
      <w:r w:rsidR="00D073BF">
        <w:rPr>
          <w:rFonts w:cs="Arial"/>
          <w:bCs/>
          <w:lang w:val="es-MX"/>
        </w:rPr>
        <w:t>.</w:t>
      </w:r>
      <w:r w:rsidR="00A06E48">
        <w:rPr>
          <w:rFonts w:cs="Arial"/>
          <w:bCs/>
          <w:lang w:val="es-MX"/>
        </w:rPr>
        <w:t xml:space="preserve"> </w:t>
      </w:r>
      <w:r w:rsidR="00D073BF">
        <w:rPr>
          <w:rFonts w:cs="Arial"/>
          <w:bCs/>
          <w:lang w:val="es-MX"/>
        </w:rPr>
        <w:t>N</w:t>
      </w:r>
      <w:r w:rsidR="00A06E48">
        <w:rPr>
          <w:rFonts w:cs="Arial"/>
          <w:bCs/>
          <w:lang w:val="es-MX"/>
        </w:rPr>
        <w:t xml:space="preserve">o obstante el referido </w:t>
      </w:r>
      <w:proofErr w:type="spellStart"/>
      <w:proofErr w:type="gramStart"/>
      <w:r w:rsidR="00A06E48">
        <w:rPr>
          <w:rFonts w:cs="Arial"/>
          <w:bCs/>
          <w:lang w:val="es-MX"/>
        </w:rPr>
        <w:t>articulo</w:t>
      </w:r>
      <w:proofErr w:type="spellEnd"/>
      <w:proofErr w:type="gramEnd"/>
      <w:r w:rsidR="00A06E48">
        <w:rPr>
          <w:rFonts w:cs="Arial"/>
          <w:bCs/>
          <w:lang w:val="es-MX"/>
        </w:rPr>
        <w:t xml:space="preserve">  no fue utilizado en la presente contratación  por lo que no incidió en el resultado de la misma, por lo que no se vulneran ninguno </w:t>
      </w:r>
      <w:r w:rsidR="00A06E48">
        <w:rPr>
          <w:rFonts w:cs="Arial"/>
          <w:bCs/>
          <w:lang w:val="es-MX"/>
        </w:rPr>
        <w:lastRenderedPageBreak/>
        <w:t>de los principios que rigen la contratación administrativa;</w:t>
      </w:r>
      <w:r w:rsidR="00D073BF">
        <w:rPr>
          <w:rFonts w:cs="Arial"/>
          <w:bCs/>
          <w:lang w:val="es-MX"/>
        </w:rPr>
        <w:t xml:space="preserve"> en el Artículo 149 del TOCAF;</w:t>
      </w:r>
    </w:p>
    <w:p w:rsidR="00290AF8" w:rsidRDefault="00A06E48" w:rsidP="00791000">
      <w:pPr>
        <w:spacing w:line="360" w:lineRule="auto"/>
        <w:ind w:firstLine="2835"/>
        <w:jc w:val="both"/>
      </w:pPr>
      <w:r w:rsidRPr="00A06E48">
        <w:rPr>
          <w:b/>
        </w:rPr>
        <w:t xml:space="preserve">4) </w:t>
      </w:r>
      <w:r w:rsidR="000B53D0" w:rsidRPr="000B53D0">
        <w:t xml:space="preserve">que por otra parte, </w:t>
      </w:r>
      <w:r w:rsidR="00882552">
        <w:t xml:space="preserve">el gasto proyectado se ejecutará en el </w:t>
      </w:r>
      <w:r w:rsidR="00791000">
        <w:t>E</w:t>
      </w:r>
      <w:r w:rsidR="00882552">
        <w:t>jercicio 2014 con cargo a créditos correspondientes al mismo;</w:t>
      </w:r>
    </w:p>
    <w:p w:rsidR="000B53D0" w:rsidRPr="000B53D0" w:rsidRDefault="000B53D0" w:rsidP="00791000">
      <w:pPr>
        <w:spacing w:line="360" w:lineRule="auto"/>
        <w:ind w:firstLine="708"/>
        <w:jc w:val="both"/>
        <w:rPr>
          <w:bCs/>
        </w:rPr>
      </w:pPr>
      <w:r w:rsidRPr="000B53D0">
        <w:rPr>
          <w:b/>
        </w:rPr>
        <w:t xml:space="preserve">ATENTO: </w:t>
      </w:r>
      <w:r w:rsidRPr="000B53D0">
        <w:rPr>
          <w:bCs/>
        </w:rPr>
        <w:t>a lo precedentemente expuesto, y a lo dispuesto por el Art</w:t>
      </w:r>
      <w:r w:rsidR="00791000">
        <w:rPr>
          <w:bCs/>
        </w:rPr>
        <w:t>ículo</w:t>
      </w:r>
      <w:r w:rsidRPr="000B53D0">
        <w:rPr>
          <w:bCs/>
        </w:rPr>
        <w:t xml:space="preserve"> 211 Lit</w:t>
      </w:r>
      <w:r w:rsidR="00791000">
        <w:rPr>
          <w:bCs/>
        </w:rPr>
        <w:t>eral</w:t>
      </w:r>
      <w:r w:rsidRPr="000B53D0">
        <w:rPr>
          <w:bCs/>
        </w:rPr>
        <w:t xml:space="preserve"> B) de la Constitución de la República;</w:t>
      </w:r>
    </w:p>
    <w:p w:rsidR="000B53D0" w:rsidRPr="000B53D0" w:rsidRDefault="000B53D0" w:rsidP="000B53D0">
      <w:pPr>
        <w:keepNext/>
        <w:spacing w:line="360" w:lineRule="auto"/>
        <w:jc w:val="center"/>
        <w:outlineLvl w:val="2"/>
        <w:rPr>
          <w:rFonts w:cs="Arial"/>
          <w:b/>
          <w:bCs/>
          <w:szCs w:val="24"/>
          <w:lang w:val="es-MX"/>
        </w:rPr>
      </w:pPr>
      <w:r w:rsidRPr="000B53D0">
        <w:rPr>
          <w:rFonts w:cs="Arial"/>
          <w:b/>
          <w:bCs/>
          <w:szCs w:val="24"/>
          <w:lang w:val="es-MX"/>
        </w:rPr>
        <w:t>EL TRIBUNAL ACUERDA</w:t>
      </w:r>
    </w:p>
    <w:p w:rsidR="000B53D0" w:rsidRDefault="00791000" w:rsidP="00791000">
      <w:pPr>
        <w:spacing w:line="360" w:lineRule="auto"/>
        <w:ind w:left="284" w:hanging="284"/>
        <w:jc w:val="both"/>
        <w:rPr>
          <w:bCs/>
          <w:lang w:val="es-MX"/>
        </w:rPr>
      </w:pPr>
      <w:r w:rsidRPr="00791000">
        <w:rPr>
          <w:b/>
          <w:bCs/>
          <w:lang w:val="es-MX"/>
        </w:rPr>
        <w:t>1)</w:t>
      </w:r>
      <w:r>
        <w:rPr>
          <w:bCs/>
          <w:lang w:val="es-MX"/>
        </w:rPr>
        <w:t xml:space="preserve"> </w:t>
      </w:r>
      <w:r w:rsidR="0096037F">
        <w:rPr>
          <w:bCs/>
          <w:lang w:val="es-MX"/>
        </w:rPr>
        <w:t>Cometer al C</w:t>
      </w:r>
      <w:r>
        <w:rPr>
          <w:bCs/>
          <w:lang w:val="es-MX"/>
        </w:rPr>
        <w:t>ontado</w:t>
      </w:r>
      <w:r w:rsidR="0096037F">
        <w:rPr>
          <w:bCs/>
          <w:lang w:val="es-MX"/>
        </w:rPr>
        <w:t>r Delegado la intervención del gasto correspondiente al Ejercicio 2014, previa imputaci</w:t>
      </w:r>
      <w:r w:rsidR="00591089">
        <w:rPr>
          <w:bCs/>
          <w:lang w:val="es-MX"/>
        </w:rPr>
        <w:t>ón del mismo a Grupo</w:t>
      </w:r>
      <w:r w:rsidR="0096037F">
        <w:rPr>
          <w:bCs/>
          <w:lang w:val="es-MX"/>
        </w:rPr>
        <w:t xml:space="preserve"> adecuado con disponibilidad suficiente;</w:t>
      </w:r>
    </w:p>
    <w:p w:rsidR="00A06E48" w:rsidRPr="000B53D0" w:rsidRDefault="00791000" w:rsidP="00791000">
      <w:pPr>
        <w:spacing w:line="360" w:lineRule="auto"/>
        <w:jc w:val="both"/>
        <w:rPr>
          <w:bCs/>
          <w:lang w:val="es-MX"/>
        </w:rPr>
      </w:pPr>
      <w:r w:rsidRPr="00791000">
        <w:rPr>
          <w:b/>
          <w:bCs/>
          <w:lang w:val="es-MX"/>
        </w:rPr>
        <w:t>2)</w:t>
      </w:r>
      <w:r>
        <w:rPr>
          <w:b/>
          <w:bCs/>
          <w:lang w:val="es-MX"/>
        </w:rPr>
        <w:t xml:space="preserve"> </w:t>
      </w:r>
      <w:r w:rsidR="00A06E48">
        <w:rPr>
          <w:bCs/>
          <w:lang w:val="es-MX"/>
        </w:rPr>
        <w:t>Téngase  presente lo expresado en el considerando 3)</w:t>
      </w:r>
    </w:p>
    <w:p w:rsidR="00421DC7" w:rsidRPr="00421DC7" w:rsidRDefault="00791000" w:rsidP="00791000">
      <w:pPr>
        <w:spacing w:line="360" w:lineRule="auto"/>
        <w:jc w:val="both"/>
        <w:rPr>
          <w:b/>
        </w:rPr>
      </w:pPr>
      <w:r w:rsidRPr="00791000">
        <w:rPr>
          <w:b/>
          <w:lang w:val="es-MX"/>
        </w:rPr>
        <w:t>3)</w:t>
      </w:r>
      <w:r>
        <w:rPr>
          <w:lang w:val="es-MX"/>
        </w:rPr>
        <w:t xml:space="preserve"> </w:t>
      </w:r>
      <w:r w:rsidR="00421DC7">
        <w:rPr>
          <w:lang w:val="es-MX"/>
        </w:rPr>
        <w:t>Comunicar al C</w:t>
      </w:r>
      <w:r>
        <w:rPr>
          <w:lang w:val="es-MX"/>
        </w:rPr>
        <w:t>ontado</w:t>
      </w:r>
      <w:r w:rsidR="00421DC7">
        <w:rPr>
          <w:lang w:val="es-MX"/>
        </w:rPr>
        <w:t>r Delegado;</w:t>
      </w:r>
      <w:r>
        <w:rPr>
          <w:lang w:val="es-MX"/>
        </w:rPr>
        <w:t xml:space="preserve"> y</w:t>
      </w:r>
      <w:r w:rsidR="000B53D0" w:rsidRPr="000B53D0">
        <w:rPr>
          <w:lang w:val="es-MX"/>
        </w:rPr>
        <w:t xml:space="preserve"> </w:t>
      </w:r>
    </w:p>
    <w:p w:rsidR="000B53D0" w:rsidRDefault="00791000" w:rsidP="00791000">
      <w:pPr>
        <w:spacing w:line="360" w:lineRule="auto"/>
        <w:jc w:val="both"/>
      </w:pPr>
      <w:r w:rsidRPr="00791000">
        <w:rPr>
          <w:b/>
        </w:rPr>
        <w:t>4)</w:t>
      </w:r>
      <w:r>
        <w:t xml:space="preserve"> </w:t>
      </w:r>
      <w:r w:rsidR="000B53D0" w:rsidRPr="000B53D0">
        <w:t>Devolver las actuaciones.</w:t>
      </w:r>
    </w:p>
    <w:p w:rsidR="003164B0" w:rsidRDefault="003164B0" w:rsidP="00791000">
      <w:pPr>
        <w:spacing w:line="360" w:lineRule="auto"/>
        <w:jc w:val="both"/>
      </w:pPr>
    </w:p>
    <w:p w:rsidR="003164B0" w:rsidRDefault="003164B0" w:rsidP="00791000">
      <w:pPr>
        <w:spacing w:line="360" w:lineRule="auto"/>
        <w:jc w:val="both"/>
      </w:pPr>
    </w:p>
    <w:p w:rsidR="003164B0" w:rsidRDefault="003164B0" w:rsidP="00791000">
      <w:pPr>
        <w:spacing w:line="360" w:lineRule="auto"/>
        <w:jc w:val="both"/>
      </w:pPr>
    </w:p>
    <w:p w:rsidR="003164B0" w:rsidRDefault="003164B0" w:rsidP="00791000">
      <w:pPr>
        <w:spacing w:line="360" w:lineRule="auto"/>
        <w:jc w:val="both"/>
      </w:pPr>
    </w:p>
    <w:p w:rsidR="003164B0" w:rsidRDefault="003164B0" w:rsidP="00791000">
      <w:pPr>
        <w:spacing w:line="360" w:lineRule="auto"/>
        <w:jc w:val="both"/>
      </w:pPr>
    </w:p>
    <w:p w:rsidR="003164B0" w:rsidRDefault="003164B0" w:rsidP="00791000">
      <w:pPr>
        <w:spacing w:line="360" w:lineRule="auto"/>
        <w:jc w:val="both"/>
      </w:pPr>
    </w:p>
    <w:p w:rsidR="003164B0" w:rsidRDefault="003164B0" w:rsidP="00791000">
      <w:pPr>
        <w:spacing w:line="360" w:lineRule="auto"/>
        <w:jc w:val="both"/>
      </w:pPr>
    </w:p>
    <w:p w:rsidR="003164B0" w:rsidRPr="000B53D0" w:rsidRDefault="003164B0" w:rsidP="00791000">
      <w:pPr>
        <w:spacing w:line="360" w:lineRule="auto"/>
        <w:jc w:val="both"/>
        <w:rPr>
          <w:b/>
        </w:rPr>
      </w:pPr>
      <w:proofErr w:type="spellStart"/>
      <w:proofErr w:type="gramStart"/>
      <w:r>
        <w:t>cr</w:t>
      </w:r>
      <w:proofErr w:type="spellEnd"/>
      <w:proofErr w:type="gramEnd"/>
    </w:p>
    <w:sectPr w:rsidR="003164B0" w:rsidRPr="000B53D0" w:rsidSect="003164B0">
      <w:footerReference w:type="even" r:id="rId9"/>
      <w:footerReference w:type="default" r:id="rId10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0C" w:rsidRDefault="0041340C">
      <w:r>
        <w:separator/>
      </w:r>
    </w:p>
  </w:endnote>
  <w:endnote w:type="continuationSeparator" w:id="0">
    <w:p w:rsidR="0041340C" w:rsidRDefault="0041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48" w:rsidRDefault="00A06E4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06E48" w:rsidRDefault="00A06E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48" w:rsidRDefault="00A06E4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252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06E48" w:rsidRDefault="00A06E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0C" w:rsidRDefault="0041340C">
      <w:r>
        <w:separator/>
      </w:r>
    </w:p>
  </w:footnote>
  <w:footnote w:type="continuationSeparator" w:id="0">
    <w:p w:rsidR="0041340C" w:rsidRDefault="00413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5B81"/>
    <w:multiLevelType w:val="hybridMultilevel"/>
    <w:tmpl w:val="5ECAF60A"/>
    <w:lvl w:ilvl="0" w:tplc="EA4AD6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D492B"/>
    <w:multiLevelType w:val="hybridMultilevel"/>
    <w:tmpl w:val="3ADA218A"/>
    <w:lvl w:ilvl="0" w:tplc="822EA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9343D6"/>
    <w:multiLevelType w:val="hybridMultilevel"/>
    <w:tmpl w:val="66D0B4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B103CA"/>
    <w:multiLevelType w:val="hybridMultilevel"/>
    <w:tmpl w:val="0CD4A31C"/>
    <w:lvl w:ilvl="0" w:tplc="942C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9D"/>
    <w:rsid w:val="00041F15"/>
    <w:rsid w:val="000B53D0"/>
    <w:rsid w:val="0015521B"/>
    <w:rsid w:val="001E43D4"/>
    <w:rsid w:val="00202194"/>
    <w:rsid w:val="002078E5"/>
    <w:rsid w:val="00290AF8"/>
    <w:rsid w:val="00290B01"/>
    <w:rsid w:val="002A1592"/>
    <w:rsid w:val="002C4641"/>
    <w:rsid w:val="002D079E"/>
    <w:rsid w:val="00311720"/>
    <w:rsid w:val="003164B0"/>
    <w:rsid w:val="003539B9"/>
    <w:rsid w:val="003617C7"/>
    <w:rsid w:val="003A42BF"/>
    <w:rsid w:val="003A48BD"/>
    <w:rsid w:val="003E58D8"/>
    <w:rsid w:val="003F611D"/>
    <w:rsid w:val="003F7B7F"/>
    <w:rsid w:val="0041340C"/>
    <w:rsid w:val="00421DC7"/>
    <w:rsid w:val="00436FCB"/>
    <w:rsid w:val="004F2527"/>
    <w:rsid w:val="00525D34"/>
    <w:rsid w:val="0053172F"/>
    <w:rsid w:val="00591089"/>
    <w:rsid w:val="005A1007"/>
    <w:rsid w:val="00632C3A"/>
    <w:rsid w:val="006E724F"/>
    <w:rsid w:val="00783E86"/>
    <w:rsid w:val="00785D1B"/>
    <w:rsid w:val="00791000"/>
    <w:rsid w:val="007C3066"/>
    <w:rsid w:val="00811091"/>
    <w:rsid w:val="00847214"/>
    <w:rsid w:val="00882552"/>
    <w:rsid w:val="008A0806"/>
    <w:rsid w:val="008A23C7"/>
    <w:rsid w:val="008D489A"/>
    <w:rsid w:val="0096037F"/>
    <w:rsid w:val="009E6689"/>
    <w:rsid w:val="00A06E48"/>
    <w:rsid w:val="00AE1219"/>
    <w:rsid w:val="00B23BFF"/>
    <w:rsid w:val="00BB050B"/>
    <w:rsid w:val="00C31B25"/>
    <w:rsid w:val="00C35988"/>
    <w:rsid w:val="00C50504"/>
    <w:rsid w:val="00C53A9D"/>
    <w:rsid w:val="00CB26AC"/>
    <w:rsid w:val="00D073BF"/>
    <w:rsid w:val="00D33397"/>
    <w:rsid w:val="00D5026B"/>
    <w:rsid w:val="00D71774"/>
    <w:rsid w:val="00E14D60"/>
    <w:rsid w:val="00E43478"/>
    <w:rsid w:val="00E46A20"/>
    <w:rsid w:val="00E51097"/>
    <w:rsid w:val="00E9244E"/>
    <w:rsid w:val="00E948BD"/>
    <w:rsid w:val="00ED4519"/>
    <w:rsid w:val="00ED6F54"/>
    <w:rsid w:val="00F2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53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5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character" w:customStyle="1" w:styleId="Ttulo2Car">
    <w:name w:val="Título 2 Car"/>
    <w:link w:val="Ttulo2"/>
    <w:uiPriority w:val="9"/>
    <w:semiHidden/>
    <w:rsid w:val="000B53D0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0B53D0"/>
    <w:rPr>
      <w:rFonts w:ascii="Cambria" w:eastAsia="Times New Roman" w:hAnsi="Cambria" w:cs="Times New Roman"/>
      <w:b/>
      <w:bCs/>
      <w:sz w:val="26"/>
      <w:szCs w:val="2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53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5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character" w:customStyle="1" w:styleId="Ttulo2Car">
    <w:name w:val="Título 2 Car"/>
    <w:link w:val="Ttulo2"/>
    <w:uiPriority w:val="9"/>
    <w:semiHidden/>
    <w:rsid w:val="000B53D0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0B53D0"/>
    <w:rPr>
      <w:rFonts w:ascii="Cambria" w:eastAsia="Times New Roman" w:hAnsi="Cambria" w:cs="Times New Roman"/>
      <w:b/>
      <w:bCs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29B4F-25CD-4F80-B575-6AC46928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Publica o abreviada</vt:lpstr>
    </vt:vector>
  </TitlesOfParts>
  <Company>Tribunal de Cuentas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Publica o abreviada</dc:title>
  <dc:subject/>
  <dc:creator>Tribunal de Cuentas</dc:creator>
  <cp:keywords/>
  <cp:lastModifiedBy>tribunal1</cp:lastModifiedBy>
  <cp:revision>3</cp:revision>
  <cp:lastPrinted>2014-01-14T14:54:00Z</cp:lastPrinted>
  <dcterms:created xsi:type="dcterms:W3CDTF">2014-01-14T14:54:00Z</dcterms:created>
  <dcterms:modified xsi:type="dcterms:W3CDTF">2014-01-14T15:48:00Z</dcterms:modified>
</cp:coreProperties>
</file>