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EEA" w:rsidRDefault="004D0EEA">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4D0EEA" w:rsidRDefault="004D0EEA">
      <w:pPr>
        <w:tabs>
          <w:tab w:val="left" w:pos="-720"/>
        </w:tabs>
        <w:suppressAutoHyphens/>
        <w:jc w:val="center"/>
        <w:rPr>
          <w:rFonts w:ascii="Helvetica" w:hAnsi="Helvetica"/>
          <w:b/>
          <w:lang w:val="es-ES_tradnl"/>
        </w:rPr>
      </w:pPr>
    </w:p>
    <w:p w:rsidR="004D0EEA" w:rsidRDefault="004D0EEA">
      <w:pPr>
        <w:tabs>
          <w:tab w:val="center" w:pos="4253"/>
        </w:tabs>
        <w:suppressAutoHyphens/>
        <w:jc w:val="center"/>
        <w:rPr>
          <w:rFonts w:ascii="Helvetica" w:hAnsi="Helvetica"/>
          <w:b/>
          <w:lang w:val="es-ES_tradnl"/>
        </w:rPr>
      </w:pPr>
      <w:r>
        <w:rPr>
          <w:rFonts w:ascii="Helvetica" w:hAnsi="Helvetica"/>
          <w:b/>
          <w:lang w:val="es-ES_tradnl"/>
        </w:rPr>
        <w:t>TRIBUNAL DE CUENTAS</w:t>
      </w:r>
    </w:p>
    <w:p w:rsidR="004D0EEA" w:rsidRDefault="004D0EEA">
      <w:pPr>
        <w:tabs>
          <w:tab w:val="left" w:pos="-720"/>
        </w:tabs>
        <w:suppressAutoHyphens/>
        <w:jc w:val="center"/>
        <w:rPr>
          <w:rFonts w:ascii="Helvetica" w:hAnsi="Helvetica"/>
          <w:b/>
          <w:lang w:val="es-ES_tradnl"/>
        </w:rPr>
      </w:pPr>
    </w:p>
    <w:p w:rsidR="004D0EEA" w:rsidRDefault="004D0EEA">
      <w:pPr>
        <w:tabs>
          <w:tab w:val="center" w:pos="4253"/>
        </w:tabs>
        <w:suppressAutoHyphens/>
        <w:jc w:val="center"/>
        <w:rPr>
          <w:rFonts w:ascii="Helvetica" w:hAnsi="Helvetica"/>
          <w:b/>
          <w:lang w:val="es-ES_tradnl"/>
        </w:rPr>
      </w:pPr>
      <w:r>
        <w:rPr>
          <w:rFonts w:ascii="Helvetica" w:hAnsi="Helvetica"/>
          <w:b/>
          <w:lang w:val="es-ES_tradnl"/>
        </w:rPr>
        <w:t>EN SESION DE FECHA 30 DE DICIEMBRE DE 2013</w:t>
      </w:r>
    </w:p>
    <w:p w:rsidR="004D0EEA" w:rsidRDefault="004D0EEA">
      <w:pPr>
        <w:tabs>
          <w:tab w:val="center" w:pos="4253"/>
        </w:tabs>
        <w:suppressAutoHyphens/>
        <w:jc w:val="center"/>
        <w:rPr>
          <w:rFonts w:ascii="Helvetica" w:hAnsi="Helvetica"/>
          <w:b/>
          <w:lang w:val="es-ES_tradnl"/>
        </w:rPr>
      </w:pPr>
    </w:p>
    <w:p w:rsidR="004D0EEA" w:rsidRPr="004D0EEA" w:rsidRDefault="004D0EEA">
      <w:pPr>
        <w:tabs>
          <w:tab w:val="center" w:pos="4253"/>
        </w:tabs>
        <w:suppressAutoHyphens/>
        <w:jc w:val="center"/>
        <w:rPr>
          <w:rFonts w:ascii="Helvetica" w:hAnsi="Helvetica"/>
          <w:b/>
          <w:lang w:val="es-UY"/>
        </w:rPr>
      </w:pPr>
      <w:r w:rsidRPr="004D0EEA">
        <w:rPr>
          <w:rFonts w:ascii="Helvetica" w:hAnsi="Helvetica"/>
          <w:b/>
          <w:lang w:val="es-UY"/>
        </w:rPr>
        <w:t xml:space="preserve">(E. E. Nº 2013-17-1-0005453, </w:t>
      </w:r>
      <w:proofErr w:type="spellStart"/>
      <w:r w:rsidRPr="004D0EEA">
        <w:rPr>
          <w:rFonts w:ascii="Helvetica" w:hAnsi="Helvetica"/>
          <w:b/>
          <w:lang w:val="es-UY"/>
        </w:rPr>
        <w:t>Ent</w:t>
      </w:r>
      <w:proofErr w:type="spellEnd"/>
      <w:r w:rsidRPr="004D0EEA">
        <w:rPr>
          <w:rFonts w:ascii="Helvetica" w:hAnsi="Helvetica"/>
          <w:b/>
          <w:lang w:val="es-UY"/>
        </w:rPr>
        <w:t>. N° 5579/13.)</w:t>
      </w:r>
    </w:p>
    <w:p w:rsidR="004D0EEA" w:rsidRPr="004D0EEA" w:rsidRDefault="004D0EEA">
      <w:pPr>
        <w:tabs>
          <w:tab w:val="center" w:pos="4253"/>
        </w:tabs>
        <w:suppressAutoHyphens/>
        <w:jc w:val="center"/>
        <w:rPr>
          <w:spacing w:val="-3"/>
          <w:lang w:val="es-UY"/>
        </w:rPr>
      </w:pPr>
    </w:p>
    <w:p w:rsidR="004D0EEA" w:rsidRPr="004D0EEA" w:rsidRDefault="004D0EEA">
      <w:pPr>
        <w:rPr>
          <w:lang w:val="es-UY"/>
        </w:rPr>
      </w:pPr>
    </w:p>
    <w:p w:rsidR="0049117F" w:rsidRDefault="004D0EEA" w:rsidP="004D0EEA">
      <w:pPr>
        <w:pStyle w:val="Textodebloque"/>
        <w:ind w:left="0" w:right="-1" w:firstLine="708"/>
        <w:rPr>
          <w:rFonts w:ascii="Arial" w:hAnsi="Arial" w:cs="Arial"/>
        </w:rPr>
      </w:pPr>
      <w:r>
        <w:rPr>
          <w:rFonts w:ascii="Arial" w:hAnsi="Arial" w:cs="Arial"/>
          <w:b/>
        </w:rPr>
        <w:t>VISTO:</w:t>
      </w:r>
      <w:r>
        <w:rPr>
          <w:rFonts w:ascii="Arial" w:hAnsi="Arial" w:cs="Arial"/>
        </w:rPr>
        <w:t xml:space="preserve"> las nuevas actuaciones remitidas por la Contadora Delegada en la</w:t>
      </w:r>
      <w:bookmarkStart w:id="0" w:name="_GoBack"/>
      <w:bookmarkEnd w:id="0"/>
      <w:r>
        <w:rPr>
          <w:rFonts w:ascii="Arial" w:hAnsi="Arial" w:cs="Arial"/>
        </w:rPr>
        <w:t xml:space="preserve"> que consta la reiteración del gasto derivado del contrato de donación modal celebrado con la Asociación San Francisco de Sales (Movimiento Tacurú);</w:t>
      </w:r>
    </w:p>
    <w:p w:rsidR="0049117F" w:rsidRDefault="004D0EEA" w:rsidP="004D0EEA">
      <w:pPr>
        <w:spacing w:line="360" w:lineRule="auto"/>
        <w:ind w:firstLine="708"/>
        <w:jc w:val="both"/>
      </w:pPr>
      <w:r w:rsidRPr="004D0EEA">
        <w:rPr>
          <w:b/>
          <w:spacing w:val="10"/>
          <w:lang w:val="es-ES_tradnl"/>
        </w:rPr>
        <w:t xml:space="preserve">RESULTANDO: </w:t>
      </w:r>
      <w:r w:rsidRPr="004D0EEA">
        <w:rPr>
          <w:b/>
          <w:bCs/>
          <w:spacing w:val="10"/>
          <w:lang w:val="es-ES_tradnl"/>
        </w:rPr>
        <w:t xml:space="preserve">1) </w:t>
      </w:r>
      <w:r w:rsidRPr="004D0EEA">
        <w:rPr>
          <w:spacing w:val="10"/>
        </w:rPr>
        <w:t>que la Intendente de Montevideo por Resolución Nº</w:t>
      </w:r>
      <w:r>
        <w:t xml:space="preserve"> 3699/13 del 19 de agosto de 2013  “convalida la aprobación” del texto del contrato de donación modal a suscribir entre la Sociedad San Francisco de Sales (Movimiento Tacurú) y la Intendencia de Montevideo por el cual esta última dona a la Institución la suma de $ 1:447.200 que se abonará en 12 cuotas de $ 120.600, la que se reajustará el 1º de julio y el 1º de enero de cada año por el IPC, iniciándose el contrato el 01/08/2013, por el término de un año;</w:t>
      </w:r>
    </w:p>
    <w:p w:rsidR="0049117F" w:rsidRDefault="004D0EEA" w:rsidP="004D0EEA">
      <w:pPr>
        <w:tabs>
          <w:tab w:val="left" w:pos="-720"/>
        </w:tabs>
        <w:suppressAutoHyphens/>
        <w:spacing w:line="360" w:lineRule="auto"/>
        <w:ind w:firstLine="2694"/>
        <w:jc w:val="both"/>
        <w:rPr>
          <w:rFonts w:cs="Arial"/>
        </w:rPr>
      </w:pPr>
      <w:r>
        <w:rPr>
          <w:b/>
          <w:bCs/>
          <w:spacing w:val="-3"/>
          <w:lang w:val="es-ES_tradnl"/>
        </w:rPr>
        <w:t>2)</w:t>
      </w:r>
      <w:r>
        <w:rPr>
          <w:spacing w:val="-3"/>
          <w:lang w:val="es-ES_tradnl"/>
        </w:rPr>
        <w:t xml:space="preserve"> que este Tribunal en Sesión de fecha 11/09/13 acordó observar el gasto, en cuanto </w:t>
      </w:r>
      <w:r>
        <w:rPr>
          <w:rFonts w:cs="Arial"/>
        </w:rPr>
        <w:t xml:space="preserve">el texto del contrato que fuera remitido bajo el </w:t>
      </w:r>
      <w:proofErr w:type="spellStart"/>
      <w:r>
        <w:rPr>
          <w:rFonts w:cs="Arial"/>
        </w:rPr>
        <w:t>nomen</w:t>
      </w:r>
      <w:proofErr w:type="spellEnd"/>
      <w:r>
        <w:rPr>
          <w:rFonts w:cs="Arial"/>
        </w:rPr>
        <w:t xml:space="preserve"> </w:t>
      </w:r>
      <w:proofErr w:type="spellStart"/>
      <w:r>
        <w:rPr>
          <w:rFonts w:cs="Arial"/>
        </w:rPr>
        <w:t>juris</w:t>
      </w:r>
      <w:proofErr w:type="spellEnd"/>
      <w:r>
        <w:rPr>
          <w:rFonts w:cs="Arial"/>
        </w:rPr>
        <w:t xml:space="preserve"> de “donación modal” instrumentaba una situación diferente a la prevista como tal por el Código Civil, lo que determinaba que la causa del contrato no fuera efectuar una liberalidad, sino contratar servicios personales, por lo que se desnaturalizaba la donación modal, ya que, en su estructura, dicho acuerdo revestía las notas características del arrendamiento de servicios, debiéndose </w:t>
      </w:r>
      <w:r>
        <w:rPr>
          <w:spacing w:val="-3"/>
          <w:lang w:val="es-ES_tradnl"/>
        </w:rPr>
        <w:t>haber dado cumplimiento a lo dispuesto por el Art. 33 del T.O.C.A.F., ingresando además estas actuaciones con principio de ejecución;</w:t>
      </w:r>
    </w:p>
    <w:p w:rsidR="0049117F" w:rsidRDefault="004D0EEA" w:rsidP="004D0EEA">
      <w:pPr>
        <w:pStyle w:val="Textoindependiente3"/>
        <w:spacing w:line="360" w:lineRule="auto"/>
        <w:ind w:firstLine="2694"/>
        <w:jc w:val="both"/>
        <w:rPr>
          <w:rFonts w:cs="Arial"/>
          <w:sz w:val="24"/>
          <w:szCs w:val="24"/>
        </w:rPr>
      </w:pPr>
      <w:r>
        <w:rPr>
          <w:b/>
          <w:bCs/>
          <w:sz w:val="24"/>
          <w:szCs w:val="24"/>
        </w:rPr>
        <w:lastRenderedPageBreak/>
        <w:t>3</w:t>
      </w:r>
      <w:r>
        <w:rPr>
          <w:rFonts w:cs="Arial"/>
          <w:b/>
          <w:bCs/>
          <w:sz w:val="24"/>
          <w:szCs w:val="24"/>
        </w:rPr>
        <w:t>)</w:t>
      </w:r>
      <w:r>
        <w:rPr>
          <w:rFonts w:cs="Arial"/>
          <w:sz w:val="24"/>
          <w:szCs w:val="24"/>
        </w:rPr>
        <w:t xml:space="preserve"> que la Intendente mediante Resolución Nº 3699/13 de fecha 19/08/13 dispuso reiterar el gasto, expresando que el contrato se enmarca en las políticas sociales que la Intendencia desarrolla con el objetivo de colaborar con aquellos sectores que presentan dificultades para su inclusión social e inserción laboral; </w:t>
      </w:r>
    </w:p>
    <w:p w:rsidR="0049117F" w:rsidRDefault="004D0EEA" w:rsidP="004D0EEA">
      <w:pPr>
        <w:spacing w:line="360" w:lineRule="auto"/>
        <w:ind w:firstLine="708"/>
        <w:jc w:val="both"/>
        <w:rPr>
          <w:szCs w:val="20"/>
          <w:lang w:val="es-MX"/>
        </w:rPr>
      </w:pPr>
      <w:r>
        <w:rPr>
          <w:b/>
          <w:bCs/>
          <w:lang w:val="es-UY"/>
        </w:rPr>
        <w:t xml:space="preserve">CONSIDERANDO: </w:t>
      </w:r>
      <w:r w:rsidRPr="004D0EEA">
        <w:rPr>
          <w:b/>
          <w:szCs w:val="20"/>
          <w:lang w:val="es-MX"/>
        </w:rPr>
        <w:t>1)</w:t>
      </w:r>
      <w:r>
        <w:rPr>
          <w:szCs w:val="20"/>
          <w:lang w:val="es-MX"/>
        </w:rPr>
        <w:t xml:space="preserve"> que el Artículo 475 de la Ley 17.296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del pago: </w:t>
      </w:r>
    </w:p>
    <w:p w:rsidR="0049117F" w:rsidRDefault="004D0EEA" w:rsidP="004D0EEA">
      <w:pPr>
        <w:spacing w:line="360" w:lineRule="auto"/>
        <w:ind w:firstLine="2835"/>
        <w:jc w:val="both"/>
        <w:rPr>
          <w:szCs w:val="20"/>
          <w:lang w:val="es-MX"/>
        </w:rPr>
      </w:pPr>
      <w:r>
        <w:rPr>
          <w:b/>
          <w:szCs w:val="20"/>
          <w:lang w:val="es-MX"/>
        </w:rPr>
        <w:t xml:space="preserve"> </w:t>
      </w:r>
      <w:r w:rsidRPr="004D0EEA">
        <w:rPr>
          <w:b/>
          <w:szCs w:val="20"/>
          <w:lang w:val="es-MX"/>
        </w:rPr>
        <w:t>2)</w:t>
      </w:r>
      <w:r>
        <w:rPr>
          <w:szCs w:val="20"/>
          <w:lang w:val="es-MX"/>
        </w:rPr>
        <w:t xml:space="preserve"> que en definitiva, se mantienen incambiadas las circunstancias que ameritaron la observación  del gasto; </w:t>
      </w:r>
    </w:p>
    <w:p w:rsidR="0049117F" w:rsidRDefault="004D0EEA" w:rsidP="004D0EEA">
      <w:pPr>
        <w:spacing w:line="360" w:lineRule="auto"/>
        <w:ind w:firstLine="708"/>
        <w:jc w:val="both"/>
        <w:rPr>
          <w:rFonts w:cs="Arial"/>
          <w:lang w:val="es-MX"/>
        </w:rPr>
      </w:pPr>
      <w:r>
        <w:rPr>
          <w:rFonts w:cs="Arial"/>
          <w:b/>
          <w:lang w:val="es-MX"/>
        </w:rPr>
        <w:t>ATENTO:</w:t>
      </w:r>
      <w:r>
        <w:rPr>
          <w:rFonts w:cs="Arial"/>
          <w:lang w:val="es-MX"/>
        </w:rPr>
        <w:t xml:space="preserve"> a lo precedentemente expuesto;</w:t>
      </w:r>
    </w:p>
    <w:p w:rsidR="0049117F" w:rsidRDefault="004D0EEA">
      <w:pPr>
        <w:spacing w:line="360" w:lineRule="auto"/>
        <w:jc w:val="center"/>
        <w:rPr>
          <w:rFonts w:cs="Arial"/>
          <w:b/>
          <w:bCs/>
          <w:lang w:val="es-MX"/>
        </w:rPr>
      </w:pPr>
      <w:r>
        <w:rPr>
          <w:rFonts w:cs="Arial"/>
          <w:b/>
          <w:bCs/>
          <w:lang w:val="es-MX"/>
        </w:rPr>
        <w:t>EL TRIBUNAL ACUERDA</w:t>
      </w:r>
    </w:p>
    <w:p w:rsidR="0049117F" w:rsidRDefault="004D0EEA" w:rsidP="004D0EEA">
      <w:pPr>
        <w:spacing w:line="360" w:lineRule="auto"/>
        <w:jc w:val="both"/>
        <w:rPr>
          <w:rFonts w:cs="Arial"/>
          <w:lang w:val="es-UY"/>
        </w:rPr>
      </w:pPr>
      <w:r w:rsidRPr="004D0EEA">
        <w:rPr>
          <w:rFonts w:cs="Arial"/>
          <w:b/>
          <w:lang w:val="es-MX"/>
        </w:rPr>
        <w:t>1)</w:t>
      </w:r>
      <w:r>
        <w:rPr>
          <w:rFonts w:cs="Arial"/>
          <w:lang w:val="es-UY"/>
        </w:rPr>
        <w:t xml:space="preserve"> Mantener la observación formulada con fecha 11 de setiembre de 2013;</w:t>
      </w:r>
    </w:p>
    <w:p w:rsidR="0049117F" w:rsidRDefault="004D0EEA" w:rsidP="004D0EEA">
      <w:pPr>
        <w:spacing w:line="360" w:lineRule="auto"/>
        <w:jc w:val="both"/>
        <w:rPr>
          <w:rFonts w:cs="Arial"/>
          <w:lang w:val="es-UY"/>
        </w:rPr>
      </w:pPr>
      <w:r w:rsidRPr="004D0EEA">
        <w:rPr>
          <w:rFonts w:cs="Arial"/>
          <w:b/>
          <w:lang w:val="es-UY"/>
        </w:rPr>
        <w:t>2)</w:t>
      </w:r>
      <w:r>
        <w:rPr>
          <w:rFonts w:cs="Arial"/>
          <w:lang w:val="es-UY"/>
        </w:rPr>
        <w:t xml:space="preserve"> Comunicar a la Contadora Delegada;</w:t>
      </w:r>
    </w:p>
    <w:p w:rsidR="0049117F" w:rsidRDefault="004D0EEA">
      <w:pPr>
        <w:spacing w:line="360" w:lineRule="auto"/>
        <w:jc w:val="both"/>
        <w:rPr>
          <w:rFonts w:cs="Arial"/>
          <w:lang w:val="es-UY"/>
        </w:rPr>
      </w:pPr>
      <w:r w:rsidRPr="004D0EEA">
        <w:rPr>
          <w:rFonts w:cs="Arial"/>
          <w:b/>
          <w:lang w:val="es-UY"/>
        </w:rPr>
        <w:t>3)</w:t>
      </w:r>
      <w:r>
        <w:rPr>
          <w:rFonts w:cs="Arial"/>
          <w:lang w:val="es-UY"/>
        </w:rPr>
        <w:t xml:space="preserve"> Dar cuenta a la Junta Departamental de Montevideo; y</w:t>
      </w:r>
    </w:p>
    <w:p w:rsidR="0049117F" w:rsidRDefault="004D0EEA">
      <w:pPr>
        <w:spacing w:line="360" w:lineRule="auto"/>
        <w:jc w:val="both"/>
        <w:rPr>
          <w:b/>
          <w:bCs/>
          <w:lang w:val="es-UY"/>
        </w:rPr>
      </w:pPr>
      <w:r w:rsidRPr="004D0EEA">
        <w:rPr>
          <w:b/>
          <w:lang w:val="es-UY"/>
        </w:rPr>
        <w:t>4)</w:t>
      </w:r>
      <w:r>
        <w:rPr>
          <w:lang w:val="es-UY"/>
        </w:rPr>
        <w:t xml:space="preserve"> Devolver las actuaciones.</w:t>
      </w:r>
    </w:p>
    <w:p w:rsidR="0049117F" w:rsidRDefault="004D0EEA">
      <w:pPr>
        <w:spacing w:line="360" w:lineRule="auto"/>
        <w:jc w:val="both"/>
        <w:rPr>
          <w:rFonts w:cs="Arial"/>
          <w:color w:val="0000FF"/>
          <w:spacing w:val="-3"/>
          <w:lang w:val="es-ES_tradnl"/>
        </w:rPr>
      </w:pPr>
      <w:r>
        <w:rPr>
          <w:rFonts w:cs="Arial"/>
          <w:lang w:val="es-UY"/>
        </w:rPr>
        <w:t xml:space="preserve">                  </w:t>
      </w:r>
      <w:r>
        <w:rPr>
          <w:rFonts w:cs="Arial"/>
          <w:lang w:val="es-UY"/>
        </w:rPr>
        <w:tab/>
      </w:r>
      <w:r>
        <w:rPr>
          <w:rFonts w:cs="Arial"/>
          <w:lang w:val="es-UY"/>
        </w:rPr>
        <w:tab/>
      </w:r>
    </w:p>
    <w:p w:rsidR="0049117F" w:rsidRDefault="0049117F" w:rsidP="004D0EEA">
      <w:pPr>
        <w:spacing w:line="360" w:lineRule="auto"/>
        <w:rPr>
          <w:rFonts w:cs="Arial"/>
          <w:sz w:val="20"/>
          <w:lang w:val="es-MX"/>
        </w:rPr>
      </w:pPr>
    </w:p>
    <w:p w:rsidR="004D0EEA" w:rsidRDefault="004D0EEA" w:rsidP="004D0EEA">
      <w:pPr>
        <w:spacing w:line="360" w:lineRule="auto"/>
        <w:rPr>
          <w:rFonts w:cs="Arial"/>
          <w:sz w:val="20"/>
          <w:lang w:val="es-MX"/>
        </w:rPr>
      </w:pPr>
    </w:p>
    <w:p w:rsidR="004D0EEA" w:rsidRDefault="004D0EEA" w:rsidP="004D0EEA">
      <w:pPr>
        <w:spacing w:line="360" w:lineRule="auto"/>
        <w:rPr>
          <w:rFonts w:cs="Arial"/>
          <w:sz w:val="20"/>
          <w:lang w:val="es-MX"/>
        </w:rPr>
      </w:pPr>
    </w:p>
    <w:p w:rsidR="004D0EEA" w:rsidRPr="004D0EEA" w:rsidRDefault="004D0EEA" w:rsidP="004D0EEA">
      <w:pPr>
        <w:spacing w:line="360" w:lineRule="auto"/>
        <w:rPr>
          <w:rFonts w:cs="Arial"/>
          <w:lang w:val="es-MX"/>
        </w:rPr>
      </w:pPr>
      <w:proofErr w:type="spellStart"/>
      <w:proofErr w:type="gramStart"/>
      <w:r>
        <w:rPr>
          <w:rFonts w:cs="Arial"/>
          <w:sz w:val="20"/>
          <w:lang w:val="es-MX"/>
        </w:rPr>
        <w:t>cr</w:t>
      </w:r>
      <w:proofErr w:type="spellEnd"/>
      <w:proofErr w:type="gramEnd"/>
    </w:p>
    <w:sectPr w:rsidR="004D0EEA" w:rsidRPr="004D0EEA" w:rsidSect="004D0EEA">
      <w:footerReference w:type="even" r:id="rId8"/>
      <w:footerReference w:type="default" r:id="rId9"/>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7F" w:rsidRDefault="004D0EEA">
      <w:r>
        <w:separator/>
      </w:r>
    </w:p>
  </w:endnote>
  <w:endnote w:type="continuationSeparator" w:id="0">
    <w:p w:rsidR="0049117F" w:rsidRDefault="004D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17F" w:rsidRDefault="004D0EE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9117F" w:rsidRDefault="004911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17F" w:rsidRDefault="004D0EE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7B73">
      <w:rPr>
        <w:rStyle w:val="Nmerodepgina"/>
        <w:noProof/>
      </w:rPr>
      <w:t>1</w:t>
    </w:r>
    <w:r>
      <w:rPr>
        <w:rStyle w:val="Nmerodepgina"/>
      </w:rPr>
      <w:fldChar w:fldCharType="end"/>
    </w:r>
  </w:p>
  <w:p w:rsidR="0049117F" w:rsidRDefault="004911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7F" w:rsidRDefault="004D0EEA">
      <w:r>
        <w:separator/>
      </w:r>
    </w:p>
  </w:footnote>
  <w:footnote w:type="continuationSeparator" w:id="0">
    <w:p w:rsidR="0049117F" w:rsidRDefault="004D0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7EA5"/>
    <w:multiLevelType w:val="hybridMultilevel"/>
    <w:tmpl w:val="32E4B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D0216D4"/>
    <w:multiLevelType w:val="hybridMultilevel"/>
    <w:tmpl w:val="FA100548"/>
    <w:lvl w:ilvl="0" w:tplc="C2D4F0C2">
      <w:start w:val="1"/>
      <w:numFmt w:val="upperLetter"/>
      <w:lvlText w:val="%1)"/>
      <w:lvlJc w:val="left"/>
      <w:pPr>
        <w:tabs>
          <w:tab w:val="num" w:pos="1050"/>
        </w:tabs>
        <w:ind w:left="1050" w:hanging="69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CF91270"/>
    <w:multiLevelType w:val="hybridMultilevel"/>
    <w:tmpl w:val="25D48528"/>
    <w:lvl w:ilvl="0" w:tplc="3CDE6614">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C1B26F0"/>
    <w:multiLevelType w:val="hybridMultilevel"/>
    <w:tmpl w:val="09EE6D56"/>
    <w:lvl w:ilvl="0" w:tplc="A13ABBF4">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20D4033"/>
    <w:multiLevelType w:val="hybridMultilevel"/>
    <w:tmpl w:val="FB185FB4"/>
    <w:lvl w:ilvl="0" w:tplc="60C2845A">
      <w:start w:val="1"/>
      <w:numFmt w:val="lowerLetter"/>
      <w:lvlText w:val="%1)"/>
      <w:lvlJc w:val="left"/>
      <w:pPr>
        <w:tabs>
          <w:tab w:val="num" w:pos="750"/>
        </w:tabs>
        <w:ind w:left="750" w:hanging="390"/>
      </w:pPr>
      <w:rPr>
        <w:rFonts w:hint="default"/>
        <w:b/>
      </w:rPr>
    </w:lvl>
    <w:lvl w:ilvl="1" w:tplc="D76CE310">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EEA"/>
    <w:rsid w:val="0049117F"/>
    <w:rsid w:val="004D0EEA"/>
    <w:rsid w:val="00547B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rFonts w:ascii="Bookman Old Style" w:hAnsi="Bookman Old Style"/>
      <w:b/>
      <w:szCs w:val="20"/>
      <w:lang w:val="es-MX"/>
    </w:rPr>
  </w:style>
  <w:style w:type="paragraph" w:styleId="Ttulo2">
    <w:name w:val="heading 2"/>
    <w:basedOn w:val="Normal"/>
    <w:next w:val="Normal"/>
    <w:qFormat/>
    <w:pPr>
      <w:keepNext/>
      <w:tabs>
        <w:tab w:val="center" w:pos="4216"/>
      </w:tabs>
      <w:suppressAutoHyphens/>
      <w:spacing w:line="360" w:lineRule="auto"/>
      <w:jc w:val="center"/>
      <w:outlineLvl w:val="1"/>
    </w:pPr>
    <w:rPr>
      <w:b/>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cs="Arial"/>
      <w:lang w:val="es-MX"/>
    </w:rPr>
  </w:style>
  <w:style w:type="paragraph" w:styleId="Sangradetextonormal">
    <w:name w:val="Body Text Indent"/>
    <w:basedOn w:val="Normal"/>
    <w:semiHidden/>
    <w:pPr>
      <w:spacing w:line="360" w:lineRule="auto"/>
      <w:ind w:left="360"/>
      <w:jc w:val="both"/>
    </w:pPr>
    <w:rPr>
      <w:rFonts w:cs="Arial"/>
      <w:lang w:val="es-MX"/>
    </w:rPr>
  </w:style>
  <w:style w:type="paragraph" w:styleId="Textonotapie">
    <w:name w:val="footnote text"/>
    <w:basedOn w:val="Normal"/>
    <w:semiHidden/>
    <w:rPr>
      <w:rFonts w:ascii="Times New Roman" w:hAnsi="Times New Roman"/>
      <w:sz w:val="20"/>
      <w:szCs w:val="20"/>
    </w:rPr>
  </w:style>
  <w:style w:type="character" w:styleId="Refdenotaalpie">
    <w:name w:val="footnote reference"/>
    <w:semiHidden/>
    <w:rPr>
      <w:vertAlign w:val="superscript"/>
    </w:rPr>
  </w:style>
  <w:style w:type="paragraph" w:styleId="Textoindependiente2">
    <w:name w:val="Body Text 2"/>
    <w:basedOn w:val="Normal"/>
    <w:semiHidden/>
    <w:pPr>
      <w:spacing w:line="360" w:lineRule="auto"/>
      <w:jc w:val="both"/>
    </w:pPr>
    <w:rPr>
      <w:rFonts w:cs="Arial"/>
      <w:i/>
      <w:iCs/>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debloque">
    <w:name w:val="Block Text"/>
    <w:basedOn w:val="Normal"/>
    <w:semiHidden/>
    <w:pPr>
      <w:spacing w:line="360" w:lineRule="auto"/>
      <w:ind w:left="964" w:right="-994"/>
      <w:jc w:val="both"/>
    </w:pPr>
    <w:rPr>
      <w:rFonts w:ascii="Bookman Old Style" w:hAnsi="Bookman Old Style"/>
      <w:szCs w:val="20"/>
      <w:lang w:val="es-MX"/>
    </w:rPr>
  </w:style>
  <w:style w:type="paragraph" w:styleId="Sangra2detindependiente">
    <w:name w:val="Body Text Indent 2"/>
    <w:basedOn w:val="Normal"/>
    <w:semiHidden/>
    <w:pPr>
      <w:spacing w:line="360" w:lineRule="auto"/>
      <w:ind w:firstLine="708"/>
      <w:jc w:val="both"/>
    </w:pPr>
    <w:rPr>
      <w:lang w:val="es-ES_tradnl"/>
    </w:rPr>
  </w:style>
  <w:style w:type="paragraph" w:styleId="Textoindependiente3">
    <w:name w:val="Body Text 3"/>
    <w:basedOn w:val="Normal"/>
    <w:semiHidden/>
    <w:unhideWhenUsed/>
    <w:pPr>
      <w:spacing w:after="120"/>
    </w:pPr>
    <w:rPr>
      <w:sz w:val="16"/>
      <w:szCs w:val="16"/>
    </w:rPr>
  </w:style>
  <w:style w:type="character" w:customStyle="1" w:styleId="Textoindependiente3Car">
    <w:name w:val="Texto independiente 3 Car"/>
    <w:semiHidden/>
    <w:rPr>
      <w:rFonts w:ascii="Arial" w:hAnsi="Arial"/>
      <w:sz w:val="16"/>
      <w:szCs w:val="16"/>
    </w:rPr>
  </w:style>
  <w:style w:type="character" w:styleId="Hipervnculo">
    <w:name w:val="Hyperlink"/>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rFonts w:ascii="Bookman Old Style" w:hAnsi="Bookman Old Style"/>
      <w:b/>
      <w:szCs w:val="20"/>
      <w:lang w:val="es-MX"/>
    </w:rPr>
  </w:style>
  <w:style w:type="paragraph" w:styleId="Ttulo2">
    <w:name w:val="heading 2"/>
    <w:basedOn w:val="Normal"/>
    <w:next w:val="Normal"/>
    <w:qFormat/>
    <w:pPr>
      <w:keepNext/>
      <w:tabs>
        <w:tab w:val="center" w:pos="4216"/>
      </w:tabs>
      <w:suppressAutoHyphens/>
      <w:spacing w:line="360" w:lineRule="auto"/>
      <w:jc w:val="center"/>
      <w:outlineLvl w:val="1"/>
    </w:pPr>
    <w:rPr>
      <w:b/>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cs="Arial"/>
      <w:lang w:val="es-MX"/>
    </w:rPr>
  </w:style>
  <w:style w:type="paragraph" w:styleId="Sangradetextonormal">
    <w:name w:val="Body Text Indent"/>
    <w:basedOn w:val="Normal"/>
    <w:semiHidden/>
    <w:pPr>
      <w:spacing w:line="360" w:lineRule="auto"/>
      <w:ind w:left="360"/>
      <w:jc w:val="both"/>
    </w:pPr>
    <w:rPr>
      <w:rFonts w:cs="Arial"/>
      <w:lang w:val="es-MX"/>
    </w:rPr>
  </w:style>
  <w:style w:type="paragraph" w:styleId="Textonotapie">
    <w:name w:val="footnote text"/>
    <w:basedOn w:val="Normal"/>
    <w:semiHidden/>
    <w:rPr>
      <w:rFonts w:ascii="Times New Roman" w:hAnsi="Times New Roman"/>
      <w:sz w:val="20"/>
      <w:szCs w:val="20"/>
    </w:rPr>
  </w:style>
  <w:style w:type="character" w:styleId="Refdenotaalpie">
    <w:name w:val="footnote reference"/>
    <w:semiHidden/>
    <w:rPr>
      <w:vertAlign w:val="superscript"/>
    </w:rPr>
  </w:style>
  <w:style w:type="paragraph" w:styleId="Textoindependiente2">
    <w:name w:val="Body Text 2"/>
    <w:basedOn w:val="Normal"/>
    <w:semiHidden/>
    <w:pPr>
      <w:spacing w:line="360" w:lineRule="auto"/>
      <w:jc w:val="both"/>
    </w:pPr>
    <w:rPr>
      <w:rFonts w:cs="Arial"/>
      <w:i/>
      <w:iCs/>
    </w:r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Textodebloque">
    <w:name w:val="Block Text"/>
    <w:basedOn w:val="Normal"/>
    <w:semiHidden/>
    <w:pPr>
      <w:spacing w:line="360" w:lineRule="auto"/>
      <w:ind w:left="964" w:right="-994"/>
      <w:jc w:val="both"/>
    </w:pPr>
    <w:rPr>
      <w:rFonts w:ascii="Bookman Old Style" w:hAnsi="Bookman Old Style"/>
      <w:szCs w:val="20"/>
      <w:lang w:val="es-MX"/>
    </w:rPr>
  </w:style>
  <w:style w:type="paragraph" w:styleId="Sangra2detindependiente">
    <w:name w:val="Body Text Indent 2"/>
    <w:basedOn w:val="Normal"/>
    <w:semiHidden/>
    <w:pPr>
      <w:spacing w:line="360" w:lineRule="auto"/>
      <w:ind w:firstLine="708"/>
      <w:jc w:val="both"/>
    </w:pPr>
    <w:rPr>
      <w:lang w:val="es-ES_tradnl"/>
    </w:rPr>
  </w:style>
  <w:style w:type="paragraph" w:styleId="Textoindependiente3">
    <w:name w:val="Body Text 3"/>
    <w:basedOn w:val="Normal"/>
    <w:semiHidden/>
    <w:unhideWhenUsed/>
    <w:pPr>
      <w:spacing w:after="120"/>
    </w:pPr>
    <w:rPr>
      <w:sz w:val="16"/>
      <w:szCs w:val="16"/>
    </w:rPr>
  </w:style>
  <w:style w:type="character" w:customStyle="1" w:styleId="Textoindependiente3Car">
    <w:name w:val="Texto independiente 3 Car"/>
    <w:semiHidden/>
    <w:rPr>
      <w:rFonts w:ascii="Arial" w:hAnsi="Arial"/>
      <w:sz w:val="16"/>
      <w:szCs w:val="16"/>
    </w:rPr>
  </w:style>
  <w:style w:type="character" w:styleId="Hipervnculo">
    <w:name w:val="Hyperlink"/>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CARPETA N° 161</vt:lpstr>
    </vt:vector>
  </TitlesOfParts>
  <Company>TCR</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161</dc:title>
  <dc:subject/>
  <dc:creator>Tribunal de Cuentas</dc:creator>
  <cp:keywords/>
  <cp:lastModifiedBy>Miriam Cristina Rivero</cp:lastModifiedBy>
  <cp:revision>2</cp:revision>
  <cp:lastPrinted>2014-01-08T11:09:00Z</cp:lastPrinted>
  <dcterms:created xsi:type="dcterms:W3CDTF">2014-01-08T11:09:00Z</dcterms:created>
  <dcterms:modified xsi:type="dcterms:W3CDTF">2014-01-08T11:09:00Z</dcterms:modified>
</cp:coreProperties>
</file>