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38" w:rsidRDefault="0029780C" w:rsidP="0029780C">
      <w:pPr>
        <w:spacing w:line="360" w:lineRule="auto"/>
        <w:ind w:firstLine="708"/>
        <w:jc w:val="right"/>
        <w:rPr>
          <w:rFonts w:ascii="Arial" w:hAnsi="Arial" w:cs="Arial"/>
          <w:lang w:val="es-ES_tradnl"/>
        </w:rPr>
      </w:pPr>
      <w:r>
        <w:rPr>
          <w:rFonts w:ascii="Arial" w:hAnsi="Arial" w:cs="Arial"/>
          <w:lang w:val="es-ES_tradnl"/>
        </w:rPr>
        <w:t xml:space="preserve">Montevideo, </w:t>
      </w:r>
      <w:r w:rsidR="008D4E99">
        <w:rPr>
          <w:rFonts w:ascii="Arial" w:hAnsi="Arial" w:cs="Arial"/>
          <w:lang w:val="es-ES_tradnl"/>
        </w:rPr>
        <w:t>7 de enero de 2014.</w:t>
      </w:r>
    </w:p>
    <w:p w:rsidR="008D4E99" w:rsidRDefault="008D4E99">
      <w:pPr>
        <w:spacing w:line="360" w:lineRule="auto"/>
        <w:jc w:val="both"/>
        <w:rPr>
          <w:rFonts w:ascii="Arial" w:hAnsi="Arial"/>
          <w:spacing w:val="-3"/>
          <w:lang w:val="es-ES_tradnl"/>
        </w:rPr>
      </w:pPr>
      <w:r>
        <w:rPr>
          <w:rFonts w:ascii="Arial" w:hAnsi="Arial"/>
          <w:spacing w:val="-3"/>
          <w:lang w:val="es-ES_tradnl"/>
        </w:rPr>
        <w:t xml:space="preserve">Señora </w:t>
      </w:r>
    </w:p>
    <w:p w:rsidR="008D4E99" w:rsidRDefault="008D4E99">
      <w:pPr>
        <w:spacing w:line="360" w:lineRule="auto"/>
        <w:jc w:val="both"/>
        <w:rPr>
          <w:rFonts w:ascii="Arial" w:hAnsi="Arial"/>
          <w:spacing w:val="-3"/>
          <w:lang w:val="es-ES_tradnl"/>
        </w:rPr>
      </w:pPr>
      <w:r>
        <w:rPr>
          <w:rFonts w:ascii="Arial" w:hAnsi="Arial"/>
          <w:spacing w:val="-3"/>
          <w:lang w:val="es-ES_tradnl"/>
        </w:rPr>
        <w:t>Contadora Delegada en la</w:t>
      </w:r>
    </w:p>
    <w:p w:rsidR="008D4E99" w:rsidRDefault="008D4E99">
      <w:pPr>
        <w:spacing w:line="360" w:lineRule="auto"/>
        <w:ind w:left="4820" w:hanging="4820"/>
        <w:jc w:val="both"/>
        <w:rPr>
          <w:rFonts w:ascii="Arial" w:hAnsi="Arial"/>
          <w:spacing w:val="-3"/>
          <w:lang w:val="es-ES_tradnl"/>
        </w:rPr>
      </w:pPr>
      <w:r>
        <w:rPr>
          <w:rFonts w:ascii="Arial" w:hAnsi="Arial"/>
          <w:spacing w:val="-3"/>
          <w:lang w:val="es-ES_tradnl"/>
        </w:rPr>
        <w:t>Intendencia  de Maldonado</w:t>
      </w:r>
    </w:p>
    <w:p w:rsidR="008D4E99" w:rsidRDefault="008D4E99">
      <w:pPr>
        <w:spacing w:line="360" w:lineRule="auto"/>
        <w:ind w:left="4820" w:hanging="4820"/>
        <w:jc w:val="both"/>
        <w:rPr>
          <w:rFonts w:ascii="Arial" w:hAnsi="Arial"/>
          <w:b/>
          <w:bCs/>
          <w:spacing w:val="-3"/>
          <w:lang w:val="es-ES_tradnl"/>
        </w:rPr>
      </w:pPr>
      <w:r>
        <w:rPr>
          <w:rFonts w:ascii="Arial" w:hAnsi="Arial"/>
          <w:spacing w:val="-3"/>
          <w:lang w:val="es-ES_tradnl"/>
        </w:rPr>
        <w:t xml:space="preserve">Sylvia María Díaz      </w:t>
      </w:r>
    </w:p>
    <w:p w:rsidR="008D4E99" w:rsidRDefault="008D4E99" w:rsidP="008D4E99">
      <w:pPr>
        <w:spacing w:line="360" w:lineRule="auto"/>
        <w:jc w:val="right"/>
        <w:rPr>
          <w:rFonts w:ascii="Arial" w:hAnsi="Arial"/>
          <w:spacing w:val="-3"/>
          <w:lang w:val="es-ES_tradnl"/>
        </w:rPr>
      </w:pPr>
      <w:r>
        <w:rPr>
          <w:rFonts w:ascii="Arial" w:hAnsi="Arial"/>
          <w:spacing w:val="-3"/>
          <w:lang w:val="es-ES_tradnl"/>
        </w:rPr>
        <w:t xml:space="preserve">E </w:t>
      </w:r>
      <w:proofErr w:type="spellStart"/>
      <w:r>
        <w:rPr>
          <w:rFonts w:ascii="Arial" w:hAnsi="Arial"/>
          <w:spacing w:val="-3"/>
          <w:lang w:val="es-ES_tradnl"/>
        </w:rPr>
        <w:t>E</w:t>
      </w:r>
      <w:proofErr w:type="spellEnd"/>
      <w:r>
        <w:rPr>
          <w:rFonts w:ascii="Arial" w:hAnsi="Arial"/>
          <w:spacing w:val="-3"/>
          <w:lang w:val="es-ES_tradnl"/>
        </w:rPr>
        <w:t xml:space="preserve"> 2013-17-1-0000727</w:t>
      </w:r>
    </w:p>
    <w:p w:rsidR="008D4E99" w:rsidRDefault="008D4E99" w:rsidP="008D4E99">
      <w:pPr>
        <w:spacing w:line="360" w:lineRule="auto"/>
        <w:jc w:val="right"/>
        <w:rPr>
          <w:rFonts w:ascii="Arial" w:hAnsi="Arial"/>
          <w:spacing w:val="-3"/>
          <w:lang w:val="es-ES_tradnl"/>
        </w:rPr>
      </w:pPr>
      <w:r>
        <w:rPr>
          <w:rFonts w:ascii="Arial" w:hAnsi="Arial"/>
          <w:spacing w:val="-3"/>
          <w:lang w:val="es-ES_tradnl"/>
        </w:rPr>
        <w:t>Of. N° 164/14.</w:t>
      </w:r>
    </w:p>
    <w:p w:rsidR="008D4E99" w:rsidRDefault="008D4E99" w:rsidP="008D4E99">
      <w:pPr>
        <w:spacing w:line="360" w:lineRule="auto"/>
        <w:jc w:val="right"/>
        <w:rPr>
          <w:rFonts w:ascii="Arial" w:hAnsi="Arial"/>
          <w:spacing w:val="-3"/>
          <w:lang w:val="es-ES_tradnl"/>
        </w:rPr>
      </w:pPr>
      <w:proofErr w:type="spellStart"/>
      <w:r>
        <w:rPr>
          <w:rFonts w:ascii="Arial" w:hAnsi="Arial"/>
          <w:spacing w:val="-3"/>
          <w:lang w:val="es-ES_tradnl"/>
        </w:rPr>
        <w:t>Ent</w:t>
      </w:r>
      <w:proofErr w:type="spellEnd"/>
      <w:r>
        <w:rPr>
          <w:rFonts w:ascii="Arial" w:hAnsi="Arial"/>
          <w:spacing w:val="-3"/>
          <w:lang w:val="es-ES_tradnl"/>
        </w:rPr>
        <w:t>. N° 6987/13.</w:t>
      </w:r>
    </w:p>
    <w:p w:rsidR="008D4E99" w:rsidRDefault="008D4E99">
      <w:pPr>
        <w:suppressAutoHyphens/>
        <w:spacing w:line="360" w:lineRule="auto"/>
        <w:ind w:firstLine="851"/>
        <w:jc w:val="both"/>
        <w:rPr>
          <w:rFonts w:ascii="Arial" w:hAnsi="Arial"/>
        </w:rPr>
      </w:pPr>
      <w:r>
        <w:rPr>
          <w:rFonts w:ascii="Arial" w:hAnsi="Arial"/>
          <w:spacing w:val="-3"/>
          <w:lang w:val="es-ES_tradnl"/>
        </w:rPr>
        <w:t xml:space="preserve">Transcribo la Resolución adoptada por este Tribunal en su acuerdo de  fecha </w:t>
      </w:r>
      <w:r>
        <w:rPr>
          <w:rFonts w:ascii="Arial" w:hAnsi="Arial"/>
          <w:lang w:val="es-MX"/>
        </w:rPr>
        <w:t>30 de diciembre de 2013</w:t>
      </w:r>
      <w:r>
        <w:rPr>
          <w:rFonts w:ascii="Arial" w:hAnsi="Arial"/>
          <w:spacing w:val="-3"/>
          <w:lang w:val="es-ES_tradnl"/>
        </w:rPr>
        <w:t xml:space="preserve">:       </w:t>
      </w:r>
    </w:p>
    <w:p w:rsidR="00250E51" w:rsidRDefault="008D4E99" w:rsidP="00250E51">
      <w:pPr>
        <w:spacing w:line="360" w:lineRule="auto"/>
        <w:ind w:firstLine="708"/>
        <w:jc w:val="both"/>
        <w:rPr>
          <w:rFonts w:ascii="Arial" w:hAnsi="Arial" w:cs="Arial"/>
          <w:bCs/>
          <w:lang w:val="es-MX"/>
        </w:rPr>
      </w:pPr>
      <w:r>
        <w:rPr>
          <w:rFonts w:ascii="Arial" w:hAnsi="Arial" w:cs="Arial"/>
          <w:b/>
        </w:rPr>
        <w:t>“</w:t>
      </w:r>
      <w:r w:rsidR="00250E51">
        <w:rPr>
          <w:rFonts w:ascii="Arial" w:hAnsi="Arial" w:cs="Arial"/>
          <w:b/>
          <w:lang w:val="es-MX"/>
        </w:rPr>
        <w:t>VISTO:</w:t>
      </w:r>
      <w:r w:rsidR="00250E51">
        <w:rPr>
          <w:rFonts w:ascii="Arial" w:hAnsi="Arial" w:cs="Arial"/>
          <w:bCs/>
          <w:lang w:val="es-MX"/>
        </w:rPr>
        <w:t xml:space="preserve"> las actuaciones remitidas por la  Intendencia de Maldonado, relacionadas con la ampliación de la Licitación Pública Nº 8/11 para</w:t>
      </w:r>
      <w:proofErr w:type="gramStart"/>
      <w:r w:rsidR="00250E51">
        <w:rPr>
          <w:rFonts w:ascii="Arial" w:hAnsi="Arial" w:cs="Arial"/>
          <w:bCs/>
          <w:lang w:val="es-MX"/>
        </w:rPr>
        <w:t>: ”</w:t>
      </w:r>
      <w:proofErr w:type="gramEnd"/>
      <w:r w:rsidR="00250E51">
        <w:rPr>
          <w:rFonts w:ascii="Arial" w:hAnsi="Arial" w:cs="Arial"/>
          <w:bCs/>
          <w:lang w:val="es-MX"/>
        </w:rPr>
        <w:t>la prestación de servicios de baños químicos con y sin personal, y servicio de baños automáticos”;</w:t>
      </w:r>
    </w:p>
    <w:p w:rsidR="00250E51" w:rsidRDefault="00250E51" w:rsidP="00250E51">
      <w:pPr>
        <w:spacing w:line="360" w:lineRule="auto"/>
        <w:ind w:firstLine="708"/>
        <w:jc w:val="both"/>
        <w:rPr>
          <w:rFonts w:ascii="Arial" w:hAnsi="Arial" w:cs="Arial"/>
          <w:bCs/>
          <w:lang w:val="es-MX"/>
        </w:rPr>
      </w:pPr>
      <w:r>
        <w:rPr>
          <w:rFonts w:ascii="Arial" w:hAnsi="Arial" w:cs="Arial"/>
          <w:b/>
          <w:lang w:val="es-MX"/>
        </w:rPr>
        <w:t>RESULTANDO:</w:t>
      </w:r>
      <w:r>
        <w:rPr>
          <w:rFonts w:ascii="Arial" w:hAnsi="Arial" w:cs="Arial"/>
          <w:bCs/>
          <w:lang w:val="es-MX"/>
        </w:rPr>
        <w:t xml:space="preserve"> </w:t>
      </w:r>
      <w:r w:rsidRPr="00C17092">
        <w:rPr>
          <w:rFonts w:ascii="Arial" w:hAnsi="Arial" w:cs="Arial"/>
          <w:b/>
          <w:bCs/>
          <w:lang w:val="es-MX"/>
        </w:rPr>
        <w:t>1)</w:t>
      </w:r>
      <w:r>
        <w:rPr>
          <w:rFonts w:ascii="Arial" w:hAnsi="Arial" w:cs="Arial"/>
          <w:bCs/>
          <w:lang w:val="es-MX"/>
        </w:rPr>
        <w:t xml:space="preserve"> que por Resolución Nº 08342/2011 de 07.10.2011 y Resolución </w:t>
      </w:r>
      <w:proofErr w:type="spellStart"/>
      <w:r>
        <w:rPr>
          <w:rFonts w:ascii="Arial" w:hAnsi="Arial" w:cs="Arial"/>
          <w:bCs/>
          <w:lang w:val="es-MX"/>
        </w:rPr>
        <w:t>rectificatoria</w:t>
      </w:r>
      <w:proofErr w:type="spellEnd"/>
      <w:r>
        <w:rPr>
          <w:rFonts w:ascii="Arial" w:hAnsi="Arial" w:cs="Arial"/>
          <w:bCs/>
          <w:lang w:val="es-MX"/>
        </w:rPr>
        <w:t xml:space="preserve"> Nº 09269/2011 de 10.11.2011, el Intendente dispuso adjudicar la licitación de referencia, por el presente período de gobierno,  a:</w:t>
      </w:r>
    </w:p>
    <w:p w:rsidR="00250E51" w:rsidRDefault="00250E51" w:rsidP="00250E51">
      <w:pPr>
        <w:spacing w:line="360" w:lineRule="auto"/>
        <w:jc w:val="both"/>
        <w:rPr>
          <w:rFonts w:ascii="Arial" w:hAnsi="Arial" w:cs="Arial"/>
          <w:bCs/>
          <w:lang w:val="es-MX"/>
        </w:rPr>
      </w:pPr>
      <w:r>
        <w:rPr>
          <w:rFonts w:ascii="Arial" w:hAnsi="Arial" w:cs="Arial"/>
          <w:bCs/>
          <w:lang w:val="es-MX"/>
        </w:rPr>
        <w:t xml:space="preserve">- Barrios Hnos. SRL por un monto total de $ 15:030.400 (impuestos incluidos), hasta 15.000 servicios de baños con personal y hasta 4.000 servicios de baños sin personal; </w:t>
      </w:r>
    </w:p>
    <w:p w:rsidR="00250E51" w:rsidRDefault="00250E51" w:rsidP="00250E51">
      <w:pPr>
        <w:spacing w:line="360" w:lineRule="auto"/>
        <w:jc w:val="both"/>
        <w:rPr>
          <w:rFonts w:ascii="Arial" w:hAnsi="Arial" w:cs="Arial"/>
          <w:bCs/>
          <w:lang w:val="es-MX"/>
        </w:rPr>
      </w:pPr>
      <w:r>
        <w:rPr>
          <w:rFonts w:ascii="Arial" w:hAnsi="Arial" w:cs="Arial"/>
          <w:bCs/>
          <w:lang w:val="es-MX"/>
        </w:rPr>
        <w:t xml:space="preserve">-  </w:t>
      </w:r>
      <w:proofErr w:type="spellStart"/>
      <w:r>
        <w:rPr>
          <w:rFonts w:ascii="Arial" w:hAnsi="Arial" w:cs="Arial"/>
          <w:bCs/>
          <w:lang w:val="es-MX"/>
        </w:rPr>
        <w:t>Aquamark</w:t>
      </w:r>
      <w:proofErr w:type="spellEnd"/>
      <w:r>
        <w:rPr>
          <w:rFonts w:ascii="Arial" w:hAnsi="Arial" w:cs="Arial"/>
          <w:bCs/>
          <w:lang w:val="es-MX"/>
        </w:rPr>
        <w:t>, S.A. por un monto total de $ 15:440.000 (impuestos incluidos) hasta 15.000 servicios de baños con personal y hasta 4.000 servicios de baños sin personal;</w:t>
      </w:r>
    </w:p>
    <w:p w:rsidR="00250E51" w:rsidRDefault="00250E51" w:rsidP="00250E51">
      <w:pPr>
        <w:spacing w:line="360" w:lineRule="auto"/>
        <w:ind w:firstLine="2552"/>
        <w:jc w:val="both"/>
        <w:rPr>
          <w:rFonts w:ascii="Arial" w:hAnsi="Arial" w:cs="Arial"/>
          <w:bCs/>
          <w:lang w:val="es-MX"/>
        </w:rPr>
      </w:pPr>
      <w:r w:rsidRPr="00C17092">
        <w:rPr>
          <w:rFonts w:ascii="Arial" w:hAnsi="Arial" w:cs="Arial"/>
          <w:b/>
          <w:bCs/>
          <w:lang w:val="es-MX"/>
        </w:rPr>
        <w:t>2)</w:t>
      </w:r>
      <w:r>
        <w:rPr>
          <w:rFonts w:ascii="Arial" w:hAnsi="Arial" w:cs="Arial"/>
          <w:bCs/>
          <w:lang w:val="es-MX"/>
        </w:rPr>
        <w:t xml:space="preserve"> que este Tribunal en Sesión de fecha 15.02.2012 acordó observar el procedimiento de la Licitación Pública de referencia considerando: </w:t>
      </w:r>
      <w:r w:rsidRPr="00AB6A31">
        <w:rPr>
          <w:rFonts w:ascii="Arial" w:hAnsi="Arial" w:cs="Arial"/>
          <w:b/>
          <w:bCs/>
          <w:lang w:val="es-MX"/>
        </w:rPr>
        <w:t>1</w:t>
      </w:r>
      <w:r>
        <w:rPr>
          <w:rFonts w:ascii="Arial" w:hAnsi="Arial" w:cs="Arial"/>
          <w:bCs/>
          <w:lang w:val="es-MX"/>
        </w:rPr>
        <w:t xml:space="preserve">) que se habían vulnerado las bases del llamado, </w:t>
      </w:r>
      <w:r w:rsidRPr="00AB6A31">
        <w:rPr>
          <w:rFonts w:ascii="Arial" w:hAnsi="Arial" w:cs="Arial"/>
          <w:b/>
          <w:bCs/>
          <w:lang w:val="es-MX"/>
        </w:rPr>
        <w:t>2</w:t>
      </w:r>
      <w:r>
        <w:rPr>
          <w:rFonts w:ascii="Arial" w:hAnsi="Arial" w:cs="Arial"/>
          <w:bCs/>
          <w:lang w:val="es-MX"/>
        </w:rPr>
        <w:t xml:space="preserve">) que se contravino el principio de igualdad de los oferentes, </w:t>
      </w:r>
      <w:r w:rsidRPr="00AB6A31">
        <w:rPr>
          <w:rFonts w:ascii="Arial" w:hAnsi="Arial" w:cs="Arial"/>
          <w:b/>
          <w:bCs/>
          <w:lang w:val="es-MX"/>
        </w:rPr>
        <w:t>3</w:t>
      </w:r>
      <w:r>
        <w:rPr>
          <w:rFonts w:ascii="Arial" w:hAnsi="Arial" w:cs="Arial"/>
          <w:bCs/>
          <w:lang w:val="es-MX"/>
        </w:rPr>
        <w:t xml:space="preserve">) que se había comprometido un gasto sin crédito disponible, y </w:t>
      </w:r>
      <w:r w:rsidRPr="00AB6A31">
        <w:rPr>
          <w:rFonts w:ascii="Arial" w:hAnsi="Arial" w:cs="Arial"/>
          <w:b/>
          <w:bCs/>
          <w:lang w:val="es-MX"/>
        </w:rPr>
        <w:t>4</w:t>
      </w:r>
      <w:r>
        <w:rPr>
          <w:rFonts w:ascii="Arial" w:hAnsi="Arial" w:cs="Arial"/>
          <w:bCs/>
          <w:lang w:val="es-MX"/>
        </w:rPr>
        <w:t>) que se configuraba principio de ejecución;</w:t>
      </w:r>
    </w:p>
    <w:p w:rsidR="00250E51" w:rsidRDefault="00250E51" w:rsidP="00250E51">
      <w:pPr>
        <w:spacing w:line="360" w:lineRule="auto"/>
        <w:ind w:firstLine="2552"/>
        <w:jc w:val="both"/>
        <w:rPr>
          <w:rFonts w:ascii="Arial" w:hAnsi="Arial" w:cs="Arial"/>
        </w:rPr>
      </w:pPr>
      <w:r w:rsidRPr="00C17092">
        <w:rPr>
          <w:rFonts w:ascii="Arial" w:hAnsi="Arial" w:cs="Arial"/>
          <w:b/>
        </w:rPr>
        <w:lastRenderedPageBreak/>
        <w:t>3)</w:t>
      </w:r>
      <w:r>
        <w:rPr>
          <w:rFonts w:ascii="Arial" w:hAnsi="Arial" w:cs="Arial"/>
        </w:rPr>
        <w:t xml:space="preserve"> que por  Resolución del Intendente No. 02472/12 de fecha 12/4/12 fue reiterado el gasto observado, habiéndose mantenido la observación por parte del Tribunal en Sesión del 23.05.2012;</w:t>
      </w:r>
    </w:p>
    <w:p w:rsidR="00250E51" w:rsidRDefault="00250E51" w:rsidP="00250E51">
      <w:pPr>
        <w:spacing w:line="360" w:lineRule="auto"/>
        <w:ind w:firstLine="2552"/>
        <w:jc w:val="both"/>
        <w:rPr>
          <w:rFonts w:ascii="Arial" w:hAnsi="Arial" w:cs="Arial"/>
          <w:lang w:val="es-ES_tradnl"/>
        </w:rPr>
      </w:pPr>
      <w:r w:rsidRPr="00C17092">
        <w:rPr>
          <w:rFonts w:ascii="Arial" w:hAnsi="Arial" w:cs="Arial"/>
          <w:b/>
        </w:rPr>
        <w:t>4)</w:t>
      </w:r>
      <w:r>
        <w:rPr>
          <w:rFonts w:ascii="Arial" w:hAnsi="Arial" w:cs="Arial"/>
        </w:rPr>
        <w:t xml:space="preserve"> que remitida para la intervención la erogación prevista para el Ejercicio 2013, la misma fue observada en Sesión de fecha 20.02.2013 </w:t>
      </w:r>
      <w:r>
        <w:rPr>
          <w:rFonts w:ascii="Arial" w:hAnsi="Arial" w:cs="Arial"/>
          <w:lang w:val="es-ES_tradnl"/>
        </w:rPr>
        <w:t xml:space="preserve"> al derivar de un gasto que fuera previamente observado por el Tribunal, por razones de procedimiento que resultan insubsanables. Ante la reiteración del gasto por el Ordenador competente, el Tribunal mantuvo la observación en Sesión de fecha 17.04.2013;</w:t>
      </w:r>
    </w:p>
    <w:p w:rsidR="00250E51" w:rsidRDefault="00250E51" w:rsidP="00250E51">
      <w:pPr>
        <w:spacing w:line="360" w:lineRule="auto"/>
        <w:ind w:firstLine="2552"/>
        <w:jc w:val="both"/>
        <w:rPr>
          <w:rFonts w:ascii="Arial" w:hAnsi="Arial" w:cs="Arial"/>
          <w:lang w:val="es-ES_tradnl"/>
        </w:rPr>
      </w:pPr>
      <w:r w:rsidRPr="00C17092">
        <w:rPr>
          <w:rFonts w:ascii="Arial" w:hAnsi="Arial" w:cs="Arial"/>
          <w:b/>
          <w:lang w:val="es-ES_tradnl"/>
        </w:rPr>
        <w:t>5)</w:t>
      </w:r>
      <w:r>
        <w:rPr>
          <w:rFonts w:ascii="Arial" w:hAnsi="Arial" w:cs="Arial"/>
          <w:lang w:val="es-ES_tradnl"/>
        </w:rPr>
        <w:t xml:space="preserve"> que en la oportunidad se remite Resolución del Intendente Nº 07327/13 de fecha 24.09.2013 autorizando la ampliación del 100% del total adjudicado a las Firmas Barrios Hnos. y </w:t>
      </w:r>
      <w:proofErr w:type="spellStart"/>
      <w:r>
        <w:rPr>
          <w:rFonts w:ascii="Arial" w:hAnsi="Arial" w:cs="Arial"/>
          <w:lang w:val="es-ES_tradnl"/>
        </w:rPr>
        <w:t>Aquamark</w:t>
      </w:r>
      <w:proofErr w:type="spellEnd"/>
      <w:r>
        <w:rPr>
          <w:rFonts w:ascii="Arial" w:hAnsi="Arial" w:cs="Arial"/>
          <w:lang w:val="es-ES_tradnl"/>
        </w:rPr>
        <w:t xml:space="preserve"> S.A., habiéndose recabado el consentimiento de ambas adjudicatarias; </w:t>
      </w:r>
    </w:p>
    <w:p w:rsidR="00250E51" w:rsidRDefault="00250E51" w:rsidP="00250E51">
      <w:pPr>
        <w:spacing w:line="360" w:lineRule="auto"/>
        <w:ind w:firstLine="2552"/>
        <w:jc w:val="both"/>
        <w:rPr>
          <w:rFonts w:ascii="Arial" w:hAnsi="Arial" w:cs="Arial"/>
          <w:lang w:val="es-ES_tradnl"/>
        </w:rPr>
      </w:pPr>
      <w:r w:rsidRPr="00C17092">
        <w:rPr>
          <w:rFonts w:ascii="Arial" w:hAnsi="Arial" w:cs="Arial"/>
          <w:b/>
          <w:lang w:val="es-ES_tradnl"/>
        </w:rPr>
        <w:t>6)</w:t>
      </w:r>
      <w:r>
        <w:rPr>
          <w:rFonts w:ascii="Arial" w:hAnsi="Arial" w:cs="Arial"/>
          <w:lang w:val="es-ES_tradnl"/>
        </w:rPr>
        <w:t xml:space="preserve"> que con fecha 03.12.2013 Contaduría informa que las sumas de $ 4:202.500 y $ 3:909.240 correspondientes a saldo de contrato (Resolución 9269/2011), y las sumas de $279.240 y $ 257.760 correspondientes a ampliación de contrato (Resolución 7327/2013),  fueron imputadas con cargo  al rubro 10900-5258 (Dirección General de Higiene y Protección Ambiental-Arrendamientos-Otros). Al mismo rubro se cargaron los importes de $ 661.000 y $ 615.050 correspondientes a ajustes paramétricos estimados. Al momento de la imputación preventiva, el rubro no contaba con disponibilidad </w:t>
      </w:r>
      <w:proofErr w:type="spellStart"/>
      <w:r>
        <w:rPr>
          <w:rFonts w:ascii="Arial" w:hAnsi="Arial" w:cs="Arial"/>
          <w:lang w:val="es-ES_tradnl"/>
        </w:rPr>
        <w:t>presuuestal</w:t>
      </w:r>
      <w:proofErr w:type="spellEnd"/>
      <w:r>
        <w:rPr>
          <w:rFonts w:ascii="Arial" w:hAnsi="Arial" w:cs="Arial"/>
          <w:lang w:val="es-ES_tradnl"/>
        </w:rPr>
        <w:t xml:space="preserve">; </w:t>
      </w:r>
    </w:p>
    <w:p w:rsidR="00250E51" w:rsidRDefault="00250E51" w:rsidP="00250E51">
      <w:pPr>
        <w:suppressAutoHyphens/>
        <w:spacing w:line="360" w:lineRule="auto"/>
        <w:ind w:right="-1" w:firstLine="708"/>
        <w:jc w:val="both"/>
        <w:rPr>
          <w:rFonts w:ascii="Arial" w:hAnsi="Arial" w:cs="Arial"/>
          <w:lang w:val="es-MX"/>
        </w:rPr>
      </w:pPr>
      <w:r>
        <w:rPr>
          <w:rFonts w:ascii="Arial" w:hAnsi="Arial" w:cs="Arial"/>
          <w:b/>
          <w:bCs/>
        </w:rPr>
        <w:t>CONSIDERANDO</w:t>
      </w:r>
      <w:r>
        <w:rPr>
          <w:rFonts w:ascii="Arial" w:hAnsi="Arial" w:cs="Arial"/>
          <w:b/>
          <w:bCs/>
        </w:rPr>
        <w:tab/>
      </w:r>
      <w:r>
        <w:rPr>
          <w:rFonts w:ascii="Arial" w:hAnsi="Arial" w:cs="Arial"/>
          <w:b/>
          <w:bCs/>
          <w:lang w:val="es-MX"/>
        </w:rPr>
        <w:t xml:space="preserve">1) </w:t>
      </w:r>
      <w:r>
        <w:rPr>
          <w:rFonts w:ascii="Arial" w:hAnsi="Arial" w:cs="Arial"/>
          <w:lang w:val="es-MX"/>
        </w:rPr>
        <w:t>que la presente  ampliación de la contratación se ajusta a lo dispuesto por el Artículo 74 del TOCAF;</w:t>
      </w:r>
    </w:p>
    <w:p w:rsidR="00250E51" w:rsidRPr="005839E3" w:rsidRDefault="00250E51" w:rsidP="00250E51">
      <w:pPr>
        <w:suppressAutoHyphens/>
        <w:spacing w:line="360" w:lineRule="auto"/>
        <w:ind w:right="-1" w:firstLine="2835"/>
        <w:jc w:val="both"/>
        <w:rPr>
          <w:rFonts w:ascii="Arial" w:hAnsi="Arial" w:cs="Arial"/>
          <w:spacing w:val="-3"/>
          <w:lang w:val="es-ES_tradnl"/>
        </w:rPr>
      </w:pPr>
      <w:r w:rsidRPr="005839E3">
        <w:rPr>
          <w:rFonts w:ascii="Arial" w:hAnsi="Arial" w:cs="Arial"/>
          <w:b/>
          <w:bCs/>
          <w:lang w:val="es-MX"/>
        </w:rPr>
        <w:t>2)</w:t>
      </w:r>
      <w:r w:rsidRPr="005839E3">
        <w:rPr>
          <w:rFonts w:ascii="Arial" w:hAnsi="Arial" w:cs="Arial"/>
          <w:lang w:val="es-MX"/>
        </w:rPr>
        <w:t xml:space="preserve"> que no obstante dicha ampliación</w:t>
      </w:r>
      <w:r w:rsidRPr="005839E3">
        <w:rPr>
          <w:rFonts w:ascii="Arial" w:hAnsi="Arial" w:cs="Arial"/>
          <w:lang w:val="es-ES_tradnl"/>
        </w:rPr>
        <w:t xml:space="preserve"> se encuentra afectada al derivar de un gasto que fue previamente observado por el Tribunal,  por razones de procedimiento que resultan insubsanables;</w:t>
      </w:r>
    </w:p>
    <w:p w:rsidR="00250E51" w:rsidRDefault="00250E51" w:rsidP="00250E51">
      <w:pPr>
        <w:suppressAutoHyphens/>
        <w:spacing w:line="360" w:lineRule="auto"/>
        <w:ind w:right="-1" w:firstLine="2835"/>
        <w:jc w:val="both"/>
      </w:pPr>
      <w:r w:rsidRPr="00E96038">
        <w:rPr>
          <w:rFonts w:ascii="Arial" w:hAnsi="Arial" w:cs="Arial"/>
          <w:b/>
          <w:spacing w:val="-3"/>
          <w:lang w:val="es-ES_tradnl"/>
        </w:rPr>
        <w:t>3)</w:t>
      </w:r>
      <w:r>
        <w:rPr>
          <w:rFonts w:ascii="Arial" w:hAnsi="Arial" w:cs="Arial"/>
          <w:spacing w:val="-3"/>
          <w:lang w:val="es-ES_tradnl"/>
        </w:rPr>
        <w:t xml:space="preserve"> que de acuerdo con lo establecido por el Artículo 15 del TOCAF, no se puede comprometer  un gasto sin que exista crédito disponible;</w:t>
      </w:r>
      <w:r>
        <w:tab/>
        <w:t xml:space="preserve">                                 </w:t>
      </w:r>
    </w:p>
    <w:p w:rsidR="00250E51" w:rsidRDefault="00250E51" w:rsidP="00250E51">
      <w:pPr>
        <w:suppressAutoHyphens/>
        <w:spacing w:line="360" w:lineRule="auto"/>
        <w:ind w:right="284"/>
        <w:jc w:val="center"/>
        <w:rPr>
          <w:rFonts w:ascii="Arial" w:hAnsi="Arial" w:cs="Arial"/>
          <w:b/>
          <w:bCs/>
        </w:rPr>
      </w:pPr>
    </w:p>
    <w:p w:rsidR="00250E51" w:rsidRDefault="00250E51" w:rsidP="00250E51">
      <w:pPr>
        <w:suppressAutoHyphens/>
        <w:spacing w:line="360" w:lineRule="auto"/>
        <w:ind w:right="284"/>
        <w:jc w:val="center"/>
        <w:rPr>
          <w:rFonts w:ascii="Arial" w:hAnsi="Arial" w:cs="Arial"/>
          <w:b/>
          <w:bCs/>
        </w:rPr>
      </w:pPr>
    </w:p>
    <w:p w:rsidR="00250E51" w:rsidRDefault="00250E51" w:rsidP="00250E51">
      <w:pPr>
        <w:suppressAutoHyphens/>
        <w:spacing w:line="360" w:lineRule="auto"/>
        <w:ind w:right="284"/>
        <w:jc w:val="center"/>
        <w:rPr>
          <w:rFonts w:ascii="Arial" w:hAnsi="Arial" w:cs="Arial"/>
          <w:b/>
          <w:bCs/>
        </w:rPr>
      </w:pPr>
    </w:p>
    <w:p w:rsidR="00250E51" w:rsidRDefault="00250E51" w:rsidP="00250E51">
      <w:pPr>
        <w:suppressAutoHyphens/>
        <w:spacing w:line="360" w:lineRule="auto"/>
        <w:ind w:right="284"/>
        <w:jc w:val="center"/>
        <w:rPr>
          <w:rFonts w:ascii="Arial" w:hAnsi="Arial" w:cs="Arial"/>
          <w:b/>
          <w:bCs/>
        </w:rPr>
      </w:pPr>
      <w:r>
        <w:rPr>
          <w:rFonts w:ascii="Arial" w:hAnsi="Arial" w:cs="Arial"/>
          <w:b/>
          <w:bCs/>
        </w:rPr>
        <w:t>EL TRIBUNAL ACUERDA</w:t>
      </w:r>
    </w:p>
    <w:p w:rsidR="00250E51" w:rsidRDefault="00250E51" w:rsidP="00250E51">
      <w:pPr>
        <w:pStyle w:val="Ttulo9"/>
        <w:tabs>
          <w:tab w:val="left" w:pos="8505"/>
        </w:tabs>
        <w:ind w:left="284" w:right="-1" w:hanging="284"/>
        <w:rPr>
          <w:rFonts w:cs="Arial"/>
          <w:b w:val="0"/>
          <w:bCs w:val="0"/>
        </w:rPr>
      </w:pPr>
      <w:r w:rsidRPr="007A3238">
        <w:rPr>
          <w:rFonts w:cs="Arial"/>
          <w:bCs w:val="0"/>
          <w:lang w:val="es-ES"/>
        </w:rPr>
        <w:t>1)</w:t>
      </w:r>
      <w:r>
        <w:rPr>
          <w:rFonts w:cs="Arial"/>
          <w:b w:val="0"/>
          <w:bCs w:val="0"/>
        </w:rPr>
        <w:t xml:space="preserve"> Observar el gasto en mérito a lo expresado en los precedentes Considerandos 2) y 3);</w:t>
      </w:r>
    </w:p>
    <w:p w:rsidR="00250E51" w:rsidRDefault="00250E51" w:rsidP="00250E51">
      <w:pPr>
        <w:spacing w:line="360" w:lineRule="auto"/>
        <w:ind w:left="284" w:hanging="284"/>
        <w:jc w:val="both"/>
        <w:rPr>
          <w:rFonts w:ascii="Arial" w:hAnsi="Arial" w:cs="Arial"/>
          <w:lang w:val="es-ES_tradnl"/>
        </w:rPr>
      </w:pPr>
      <w:r>
        <w:rPr>
          <w:rFonts w:ascii="Arial" w:hAnsi="Arial" w:cs="Arial"/>
          <w:b/>
          <w:bCs/>
          <w:lang w:val="es-ES_tradnl"/>
        </w:rPr>
        <w:t xml:space="preserve">2) </w:t>
      </w:r>
      <w:r>
        <w:rPr>
          <w:rFonts w:ascii="Arial" w:hAnsi="Arial" w:cs="Arial"/>
        </w:rPr>
        <w:t>Cometer a la Contadora Delegada el control de la existencia de disponibilidad presupuestal suficiente en el Rubro de imputación y, en caso de no existir, la formulación de la observación respectiva</w:t>
      </w:r>
      <w:r>
        <w:rPr>
          <w:rFonts w:ascii="Arial" w:hAnsi="Arial" w:cs="Arial"/>
          <w:b/>
          <w:bCs/>
        </w:rPr>
        <w:t xml:space="preserve">;  </w:t>
      </w:r>
    </w:p>
    <w:p w:rsidR="00250E51" w:rsidRDefault="00250E51" w:rsidP="00250E51">
      <w:pPr>
        <w:spacing w:line="360" w:lineRule="auto"/>
        <w:rPr>
          <w:rFonts w:ascii="Arial" w:hAnsi="Arial" w:cs="Arial"/>
          <w:b/>
          <w:bCs/>
          <w:lang w:val="es-ES_tradnl"/>
        </w:rPr>
      </w:pPr>
      <w:r>
        <w:rPr>
          <w:rFonts w:ascii="Arial" w:hAnsi="Arial" w:cs="Arial"/>
          <w:b/>
          <w:bCs/>
          <w:lang w:val="es-ES_tradnl"/>
        </w:rPr>
        <w:t xml:space="preserve">3) </w:t>
      </w:r>
      <w:r w:rsidRPr="00E96038">
        <w:rPr>
          <w:rFonts w:ascii="Arial" w:hAnsi="Arial" w:cs="Arial"/>
          <w:bCs/>
          <w:lang w:val="es-ES_tradnl"/>
        </w:rPr>
        <w:t>Comunicar a</w:t>
      </w:r>
      <w:r>
        <w:rPr>
          <w:rFonts w:ascii="Arial" w:hAnsi="Arial" w:cs="Arial"/>
          <w:bCs/>
          <w:lang w:val="es-ES_tradnl"/>
        </w:rPr>
        <w:t xml:space="preserve"> </w:t>
      </w:r>
      <w:r w:rsidRPr="00E96038">
        <w:rPr>
          <w:rFonts w:ascii="Arial" w:hAnsi="Arial" w:cs="Arial"/>
          <w:bCs/>
          <w:lang w:val="es-ES_tradnl"/>
        </w:rPr>
        <w:t>l</w:t>
      </w:r>
      <w:r>
        <w:rPr>
          <w:rFonts w:ascii="Arial" w:hAnsi="Arial" w:cs="Arial"/>
          <w:bCs/>
          <w:lang w:val="es-ES_tradnl"/>
        </w:rPr>
        <w:t>a</w:t>
      </w:r>
      <w:r w:rsidRPr="00E96038">
        <w:rPr>
          <w:rFonts w:ascii="Arial" w:hAnsi="Arial" w:cs="Arial"/>
          <w:bCs/>
          <w:lang w:val="es-ES_tradnl"/>
        </w:rPr>
        <w:t xml:space="preserve"> </w:t>
      </w:r>
      <w:r>
        <w:rPr>
          <w:rFonts w:ascii="Arial" w:hAnsi="Arial" w:cs="Arial"/>
          <w:bCs/>
          <w:lang w:val="es-ES_tradnl"/>
        </w:rPr>
        <w:t>C</w:t>
      </w:r>
      <w:r w:rsidRPr="00E96038">
        <w:rPr>
          <w:rFonts w:ascii="Arial" w:hAnsi="Arial" w:cs="Arial"/>
          <w:bCs/>
          <w:lang w:val="es-ES_tradnl"/>
        </w:rPr>
        <w:t>ontador</w:t>
      </w:r>
      <w:r>
        <w:rPr>
          <w:rFonts w:ascii="Arial" w:hAnsi="Arial" w:cs="Arial"/>
          <w:bCs/>
          <w:lang w:val="es-ES_tradnl"/>
        </w:rPr>
        <w:t xml:space="preserve">a Delegada; y </w:t>
      </w:r>
    </w:p>
    <w:p w:rsidR="00250E51" w:rsidRDefault="00250E51" w:rsidP="00250E51">
      <w:pPr>
        <w:spacing w:line="360" w:lineRule="auto"/>
        <w:rPr>
          <w:rFonts w:ascii="Arial" w:hAnsi="Arial" w:cs="Arial"/>
        </w:rPr>
      </w:pPr>
      <w:r w:rsidRPr="00E96038">
        <w:rPr>
          <w:rFonts w:ascii="Arial" w:hAnsi="Arial" w:cs="Arial"/>
          <w:b/>
        </w:rPr>
        <w:t>4)</w:t>
      </w:r>
      <w:r>
        <w:rPr>
          <w:rFonts w:ascii="Arial" w:hAnsi="Arial" w:cs="Arial"/>
        </w:rPr>
        <w:t xml:space="preserve"> Devolver las actuaciones.</w:t>
      </w:r>
      <w:r>
        <w:rPr>
          <w:rFonts w:ascii="Arial" w:hAnsi="Arial" w:cs="Arial"/>
        </w:rPr>
        <w:t>”</w:t>
      </w:r>
      <w:bookmarkStart w:id="0" w:name="_GoBack"/>
      <w:bookmarkEnd w:id="0"/>
    </w:p>
    <w:p w:rsidR="007A3238" w:rsidRDefault="007A3238" w:rsidP="00250E51">
      <w:pPr>
        <w:spacing w:line="360" w:lineRule="auto"/>
        <w:ind w:firstLine="708"/>
        <w:jc w:val="both"/>
        <w:rPr>
          <w:rFonts w:ascii="Arial" w:hAnsi="Arial" w:cs="Arial"/>
        </w:rPr>
      </w:pPr>
    </w:p>
    <w:p w:rsidR="0029780C" w:rsidRDefault="0029780C" w:rsidP="0029780C">
      <w:pPr>
        <w:spacing w:line="360" w:lineRule="auto"/>
        <w:jc w:val="right"/>
        <w:rPr>
          <w:rFonts w:ascii="Arial" w:hAnsi="Arial" w:cs="Arial"/>
        </w:rPr>
      </w:pPr>
      <w:r>
        <w:rPr>
          <w:rFonts w:ascii="Arial" w:hAnsi="Arial" w:cs="Arial"/>
        </w:rPr>
        <w:t>Saludo a Usted atentamente.</w:t>
      </w:r>
    </w:p>
    <w:p w:rsidR="00D30FFD" w:rsidRDefault="00D30FFD" w:rsidP="007A3238">
      <w:pPr>
        <w:spacing w:line="360" w:lineRule="auto"/>
        <w:rPr>
          <w:rFonts w:ascii="Arial" w:hAnsi="Arial" w:cs="Arial"/>
        </w:rPr>
      </w:pPr>
    </w:p>
    <w:p w:rsidR="00D30FFD" w:rsidRDefault="00D30FFD" w:rsidP="007A3238">
      <w:pPr>
        <w:spacing w:line="360" w:lineRule="auto"/>
        <w:rPr>
          <w:rFonts w:ascii="Arial" w:hAnsi="Arial" w:cs="Arial"/>
        </w:rPr>
      </w:pPr>
    </w:p>
    <w:p w:rsidR="00D30FFD" w:rsidRDefault="00D30FFD" w:rsidP="007A3238">
      <w:pPr>
        <w:spacing w:line="360" w:lineRule="auto"/>
        <w:rPr>
          <w:rFonts w:ascii="Arial" w:hAnsi="Arial" w:cs="Arial"/>
        </w:rPr>
      </w:pPr>
    </w:p>
    <w:p w:rsidR="00D30FFD" w:rsidRDefault="00D30FFD" w:rsidP="007A3238">
      <w:pPr>
        <w:spacing w:line="360" w:lineRule="auto"/>
        <w:rPr>
          <w:rFonts w:ascii="Arial" w:hAnsi="Arial" w:cs="Arial"/>
        </w:rPr>
      </w:pPr>
    </w:p>
    <w:p w:rsidR="00D30FFD" w:rsidRDefault="00D30FFD" w:rsidP="007A3238">
      <w:pPr>
        <w:spacing w:line="360" w:lineRule="auto"/>
        <w:rPr>
          <w:rFonts w:ascii="Arial" w:hAnsi="Arial" w:cs="Arial"/>
        </w:rPr>
      </w:pPr>
    </w:p>
    <w:p w:rsidR="00D30FFD" w:rsidRDefault="00D30FFD" w:rsidP="007A3238">
      <w:pPr>
        <w:spacing w:line="360" w:lineRule="auto"/>
        <w:rPr>
          <w:rFonts w:ascii="Arial" w:hAnsi="Arial" w:cs="Arial"/>
        </w:rPr>
      </w:pPr>
    </w:p>
    <w:p w:rsidR="00D30FFD" w:rsidRPr="007A3238" w:rsidRDefault="00D30FFD" w:rsidP="007A3238">
      <w:pPr>
        <w:spacing w:line="360" w:lineRule="auto"/>
      </w:pPr>
      <w:proofErr w:type="spellStart"/>
      <w:proofErr w:type="gramStart"/>
      <w:r>
        <w:rPr>
          <w:rFonts w:ascii="Arial" w:hAnsi="Arial" w:cs="Arial"/>
        </w:rPr>
        <w:t>cr</w:t>
      </w:r>
      <w:proofErr w:type="spellEnd"/>
      <w:proofErr w:type="gramEnd"/>
    </w:p>
    <w:sectPr w:rsidR="00D30FFD" w:rsidRPr="007A3238" w:rsidSect="007A3238">
      <w:footerReference w:type="even" r:id="rId8"/>
      <w:footerReference w:type="default" r:id="rId9"/>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0C" w:rsidRDefault="0029780C">
      <w:r>
        <w:separator/>
      </w:r>
    </w:p>
  </w:endnote>
  <w:endnote w:type="continuationSeparator" w:id="0">
    <w:p w:rsidR="0029780C" w:rsidRDefault="0029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0C" w:rsidRDefault="0029780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9780C" w:rsidRDefault="0029780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0C" w:rsidRDefault="0029780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0E51">
      <w:rPr>
        <w:rStyle w:val="Nmerodepgina"/>
        <w:noProof/>
      </w:rPr>
      <w:t>3</w:t>
    </w:r>
    <w:r>
      <w:rPr>
        <w:rStyle w:val="Nmerodepgina"/>
      </w:rPr>
      <w:fldChar w:fldCharType="end"/>
    </w:r>
  </w:p>
  <w:p w:rsidR="0029780C" w:rsidRDefault="0029780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0C" w:rsidRDefault="0029780C">
      <w:r>
        <w:separator/>
      </w:r>
    </w:p>
  </w:footnote>
  <w:footnote w:type="continuationSeparator" w:id="0">
    <w:p w:rsidR="0029780C" w:rsidRDefault="00297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24A5"/>
    <w:multiLevelType w:val="hybridMultilevel"/>
    <w:tmpl w:val="83C80C2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B076B92"/>
    <w:multiLevelType w:val="singleLevel"/>
    <w:tmpl w:val="0C0A0011"/>
    <w:lvl w:ilvl="0">
      <w:start w:val="1"/>
      <w:numFmt w:val="decimal"/>
      <w:lvlText w:val="%1)"/>
      <w:lvlJc w:val="left"/>
      <w:pPr>
        <w:tabs>
          <w:tab w:val="num" w:pos="360"/>
        </w:tabs>
        <w:ind w:left="360" w:hanging="360"/>
      </w:pPr>
      <w:rPr>
        <w:rFonts w:hint="default"/>
      </w:rPr>
    </w:lvl>
  </w:abstractNum>
  <w:abstractNum w:abstractNumId="2">
    <w:nsid w:val="2EAE04FF"/>
    <w:multiLevelType w:val="hybridMultilevel"/>
    <w:tmpl w:val="1E143894"/>
    <w:lvl w:ilvl="0" w:tplc="E334D31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D113B37"/>
    <w:multiLevelType w:val="hybridMultilevel"/>
    <w:tmpl w:val="9404C646"/>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E3"/>
    <w:rsid w:val="00136F21"/>
    <w:rsid w:val="00250E51"/>
    <w:rsid w:val="0029780C"/>
    <w:rsid w:val="003E63D9"/>
    <w:rsid w:val="00507E5D"/>
    <w:rsid w:val="005839E3"/>
    <w:rsid w:val="007A3238"/>
    <w:rsid w:val="008D4E99"/>
    <w:rsid w:val="00C17092"/>
    <w:rsid w:val="00C560E3"/>
    <w:rsid w:val="00D30FFD"/>
    <w:rsid w:val="00E96038"/>
    <w:rsid w:val="00F46141"/>
    <w:rsid w:val="00F653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Bookman Old Style" w:hAnsi="Bookman Old Style"/>
      <w:b/>
      <w:szCs w:val="20"/>
      <w:lang w:val="es-MX"/>
    </w:rPr>
  </w:style>
  <w:style w:type="paragraph" w:styleId="Ttulo2">
    <w:name w:val="heading 2"/>
    <w:basedOn w:val="Normal"/>
    <w:next w:val="Normal"/>
    <w:qFormat/>
    <w:pPr>
      <w:keepNext/>
      <w:spacing w:line="360" w:lineRule="auto"/>
      <w:jc w:val="both"/>
      <w:outlineLvl w:val="1"/>
    </w:pPr>
    <w:rPr>
      <w:rFonts w:ascii="Arial" w:hAnsi="Arial" w:cs="Arial"/>
      <w:b/>
      <w:lang w:val="es-MX"/>
    </w:rPr>
  </w:style>
  <w:style w:type="paragraph" w:styleId="Ttulo3">
    <w:name w:val="heading 3"/>
    <w:basedOn w:val="Normal"/>
    <w:next w:val="Normal"/>
    <w:qFormat/>
    <w:pPr>
      <w:keepNext/>
      <w:suppressAutoHyphens/>
      <w:spacing w:line="360" w:lineRule="auto"/>
      <w:ind w:right="284" w:firstLine="720"/>
      <w:jc w:val="both"/>
      <w:outlineLvl w:val="2"/>
    </w:pPr>
    <w:rPr>
      <w:rFonts w:ascii="Arial" w:hAnsi="Arial"/>
      <w:b/>
      <w:bCs/>
      <w:lang w:val="es-ES_tradnl"/>
    </w:rPr>
  </w:style>
  <w:style w:type="paragraph" w:styleId="Ttulo7">
    <w:name w:val="heading 7"/>
    <w:basedOn w:val="Normal"/>
    <w:next w:val="Normal"/>
    <w:qFormat/>
    <w:pPr>
      <w:keepNext/>
      <w:widowControl w:val="0"/>
      <w:suppressAutoHyphens/>
      <w:spacing w:line="360" w:lineRule="auto"/>
      <w:ind w:right="284"/>
      <w:jc w:val="both"/>
      <w:outlineLvl w:val="6"/>
    </w:pPr>
    <w:rPr>
      <w:rFonts w:ascii="Arial" w:hAnsi="Arial"/>
      <w:snapToGrid w:val="0"/>
      <w:spacing w:val="-3"/>
      <w:szCs w:val="20"/>
      <w:lang w:val="es-ES_tradnl"/>
    </w:rPr>
  </w:style>
  <w:style w:type="paragraph" w:styleId="Ttulo9">
    <w:name w:val="heading 9"/>
    <w:basedOn w:val="Normal"/>
    <w:next w:val="Normal"/>
    <w:qFormat/>
    <w:pPr>
      <w:keepNext/>
      <w:widowControl w:val="0"/>
      <w:suppressAutoHyphens/>
      <w:spacing w:line="360" w:lineRule="auto"/>
      <w:ind w:left="1440" w:right="284" w:firstLine="720"/>
      <w:jc w:val="both"/>
      <w:outlineLvl w:val="8"/>
    </w:pPr>
    <w:rPr>
      <w:rFonts w:ascii="Arial" w:hAnsi="Arial"/>
      <w:b/>
      <w:bCs/>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Cs w:val="20"/>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uiPriority w:val="99"/>
    <w:unhideWhenUsed/>
    <w:rsid w:val="00136F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Bookman Old Style" w:hAnsi="Bookman Old Style"/>
      <w:b/>
      <w:szCs w:val="20"/>
      <w:lang w:val="es-MX"/>
    </w:rPr>
  </w:style>
  <w:style w:type="paragraph" w:styleId="Ttulo2">
    <w:name w:val="heading 2"/>
    <w:basedOn w:val="Normal"/>
    <w:next w:val="Normal"/>
    <w:qFormat/>
    <w:pPr>
      <w:keepNext/>
      <w:spacing w:line="360" w:lineRule="auto"/>
      <w:jc w:val="both"/>
      <w:outlineLvl w:val="1"/>
    </w:pPr>
    <w:rPr>
      <w:rFonts w:ascii="Arial" w:hAnsi="Arial" w:cs="Arial"/>
      <w:b/>
      <w:lang w:val="es-MX"/>
    </w:rPr>
  </w:style>
  <w:style w:type="paragraph" w:styleId="Ttulo3">
    <w:name w:val="heading 3"/>
    <w:basedOn w:val="Normal"/>
    <w:next w:val="Normal"/>
    <w:qFormat/>
    <w:pPr>
      <w:keepNext/>
      <w:suppressAutoHyphens/>
      <w:spacing w:line="360" w:lineRule="auto"/>
      <w:ind w:right="284" w:firstLine="720"/>
      <w:jc w:val="both"/>
      <w:outlineLvl w:val="2"/>
    </w:pPr>
    <w:rPr>
      <w:rFonts w:ascii="Arial" w:hAnsi="Arial"/>
      <w:b/>
      <w:bCs/>
      <w:lang w:val="es-ES_tradnl"/>
    </w:rPr>
  </w:style>
  <w:style w:type="paragraph" w:styleId="Ttulo7">
    <w:name w:val="heading 7"/>
    <w:basedOn w:val="Normal"/>
    <w:next w:val="Normal"/>
    <w:qFormat/>
    <w:pPr>
      <w:keepNext/>
      <w:widowControl w:val="0"/>
      <w:suppressAutoHyphens/>
      <w:spacing w:line="360" w:lineRule="auto"/>
      <w:ind w:right="284"/>
      <w:jc w:val="both"/>
      <w:outlineLvl w:val="6"/>
    </w:pPr>
    <w:rPr>
      <w:rFonts w:ascii="Arial" w:hAnsi="Arial"/>
      <w:snapToGrid w:val="0"/>
      <w:spacing w:val="-3"/>
      <w:szCs w:val="20"/>
      <w:lang w:val="es-ES_tradnl"/>
    </w:rPr>
  </w:style>
  <w:style w:type="paragraph" w:styleId="Ttulo9">
    <w:name w:val="heading 9"/>
    <w:basedOn w:val="Normal"/>
    <w:next w:val="Normal"/>
    <w:qFormat/>
    <w:pPr>
      <w:keepNext/>
      <w:widowControl w:val="0"/>
      <w:suppressAutoHyphens/>
      <w:spacing w:line="360" w:lineRule="auto"/>
      <w:ind w:left="1440" w:right="284" w:firstLine="720"/>
      <w:jc w:val="both"/>
      <w:outlineLvl w:val="8"/>
    </w:pPr>
    <w:rPr>
      <w:rFonts w:ascii="Arial" w:hAnsi="Arial"/>
      <w:b/>
      <w:bCs/>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Cs w:val="20"/>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uiPriority w:val="99"/>
    <w:unhideWhenUsed/>
    <w:rsid w:val="00136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Carpeta N°: 238051</vt:lpstr>
    </vt:vector>
  </TitlesOfParts>
  <Company>Tribunal de Cuentas de la República</Company>
  <LinksUpToDate>false</LinksUpToDate>
  <CharactersWithSpaces>3748</CharactersWithSpaces>
  <SharedDoc>false</SharedDoc>
  <HLinks>
    <vt:vector size="6" baseType="variant">
      <vt:variant>
        <vt:i4>4063309</vt:i4>
      </vt:variant>
      <vt:variant>
        <vt:i4>0</vt:i4>
      </vt:variant>
      <vt:variant>
        <vt:i4>0</vt:i4>
      </vt:variant>
      <vt:variant>
        <vt:i4>5</vt:i4>
      </vt:variant>
      <vt:variant>
        <vt:lpwstr>\\Tcrnw03\vol1\USUARIOS\JUR-GDEP\Mis documentos\LICITACIONES\Maldonado\2013-17-1-0000727 amp CORREC.doc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238051</dc:title>
  <dc:subject/>
  <dc:creator>14258075</dc:creator>
  <cp:keywords/>
  <cp:lastModifiedBy>tribunal1</cp:lastModifiedBy>
  <cp:revision>4</cp:revision>
  <cp:lastPrinted>2014-01-07T12:17:00Z</cp:lastPrinted>
  <dcterms:created xsi:type="dcterms:W3CDTF">2014-01-07T12:14:00Z</dcterms:created>
  <dcterms:modified xsi:type="dcterms:W3CDTF">2014-01-07T15:43:00Z</dcterms:modified>
</cp:coreProperties>
</file>