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BE" w:rsidRDefault="000A67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A67BE" w:rsidRDefault="000A67B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A67BE" w:rsidRDefault="000A67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A67BE" w:rsidRDefault="000A67B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A67BE" w:rsidRDefault="000A67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0A67BE" w:rsidRDefault="000A67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A67BE" w:rsidRPr="000A67BE" w:rsidRDefault="000A67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A67BE">
        <w:rPr>
          <w:rFonts w:ascii="Helvetica" w:hAnsi="Helvetica"/>
          <w:b/>
          <w:lang w:val="es-UY"/>
        </w:rPr>
        <w:t xml:space="preserve">(E. E. Nº 2012-17-1-0001938, </w:t>
      </w:r>
      <w:proofErr w:type="spellStart"/>
      <w:r w:rsidRPr="000A67BE">
        <w:rPr>
          <w:rFonts w:ascii="Helvetica" w:hAnsi="Helvetica"/>
          <w:b/>
          <w:lang w:val="es-UY"/>
        </w:rPr>
        <w:t>Ent</w:t>
      </w:r>
      <w:proofErr w:type="spellEnd"/>
      <w:r w:rsidRPr="000A67BE">
        <w:rPr>
          <w:rFonts w:ascii="Helvetica" w:hAnsi="Helvetica"/>
          <w:b/>
          <w:lang w:val="es-UY"/>
        </w:rPr>
        <w:t>. N° 6989/13.)</w:t>
      </w:r>
    </w:p>
    <w:p w:rsidR="000A67BE" w:rsidRPr="000A67BE" w:rsidRDefault="000A67B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A67BE" w:rsidRPr="000A67BE" w:rsidRDefault="000A67BE">
      <w:pPr>
        <w:tabs>
          <w:tab w:val="center" w:pos="4253"/>
        </w:tabs>
        <w:suppressAutoHyphens/>
        <w:rPr>
          <w:spacing w:val="-3"/>
          <w:lang w:val="es-UY"/>
        </w:rPr>
      </w:pPr>
    </w:p>
    <w:p w:rsidR="00CB4D9E" w:rsidRDefault="00EB0E32" w:rsidP="000A67BE">
      <w:pPr>
        <w:pStyle w:val="Textoindependiente"/>
        <w:ind w:firstLine="708"/>
        <w:rPr>
          <w:rFonts w:cs="Arial"/>
        </w:rPr>
      </w:pPr>
      <w:r>
        <w:rPr>
          <w:rFonts w:cs="Arial"/>
          <w:b/>
          <w:bCs/>
        </w:rPr>
        <w:t xml:space="preserve">VISTO: </w:t>
      </w:r>
      <w:r>
        <w:rPr>
          <w:rFonts w:cs="Arial"/>
        </w:rPr>
        <w:t>nuevas actuaciones remitidas por la Intendencia de Maldonado relacionadas con la imputación de gastos derivados de la Licitación Pública 56/2011 convocada para la construcción de 131 Viviendas  de Inter</w:t>
      </w:r>
      <w:r w:rsidR="000A67BE">
        <w:rPr>
          <w:rFonts w:cs="Arial"/>
        </w:rPr>
        <w:t>és Social en Cañada Aparicio I;</w:t>
      </w:r>
    </w:p>
    <w:p w:rsidR="00CB4D9E" w:rsidRDefault="00EB0E32" w:rsidP="000A67BE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RESULTANDO: 1</w:t>
      </w:r>
      <w:r w:rsidR="000A67BE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que por Resolución Nº 06777/12 de fecha 26/09/12, el Intendente adjudicó la licitación de referencia de la siguiente manera: Sector I: a Consorcio </w:t>
      </w:r>
      <w:proofErr w:type="spellStart"/>
      <w:r>
        <w:rPr>
          <w:rFonts w:cs="Arial"/>
        </w:rPr>
        <w:t>Bongiovanni</w:t>
      </w:r>
      <w:proofErr w:type="spellEnd"/>
      <w:r>
        <w:rPr>
          <w:rFonts w:cs="Arial"/>
        </w:rPr>
        <w:t xml:space="preserve">- AYPO :$27:712.991,64 (incluye obra básica, </w:t>
      </w:r>
      <w:proofErr w:type="spellStart"/>
      <w:r w:rsidRPr="000A67BE">
        <w:rPr>
          <w:rFonts w:cs="Arial"/>
          <w:spacing w:val="14"/>
        </w:rPr>
        <w:t>extrapropuesta</w:t>
      </w:r>
      <w:proofErr w:type="spellEnd"/>
      <w:r w:rsidRPr="000A67BE">
        <w:rPr>
          <w:rFonts w:cs="Arial"/>
          <w:spacing w:val="14"/>
        </w:rPr>
        <w:t xml:space="preserve"> y monto imponible para leyes sociales); Sector II: </w:t>
      </w:r>
      <w:proofErr w:type="spellStart"/>
      <w:r w:rsidRPr="001512E6">
        <w:rPr>
          <w:rFonts w:cs="Arial"/>
          <w:spacing w:val="-10"/>
        </w:rPr>
        <w:t>Buresil</w:t>
      </w:r>
      <w:proofErr w:type="spellEnd"/>
      <w:r w:rsidRPr="001512E6">
        <w:rPr>
          <w:rFonts w:cs="Arial"/>
          <w:spacing w:val="-10"/>
        </w:rPr>
        <w:t xml:space="preserve"> $ 46:826.271,32 (incluye obra básica, </w:t>
      </w:r>
      <w:proofErr w:type="spellStart"/>
      <w:r w:rsidRPr="001512E6">
        <w:rPr>
          <w:rFonts w:cs="Arial"/>
          <w:spacing w:val="-10"/>
        </w:rPr>
        <w:t>extrapropuesta</w:t>
      </w:r>
      <w:proofErr w:type="spellEnd"/>
      <w:r w:rsidRPr="001512E6">
        <w:rPr>
          <w:rFonts w:cs="Arial"/>
          <w:spacing w:val="-10"/>
        </w:rPr>
        <w:t xml:space="preserve"> y monto</w:t>
      </w:r>
      <w:r>
        <w:rPr>
          <w:rFonts w:cs="Arial"/>
        </w:rPr>
        <w:t xml:space="preserve"> imponible para leyes sociales); Sector IV: </w:t>
      </w:r>
      <w:proofErr w:type="spellStart"/>
      <w:r>
        <w:rPr>
          <w:rFonts w:cs="Arial"/>
        </w:rPr>
        <w:t>Bega</w:t>
      </w:r>
      <w:proofErr w:type="spellEnd"/>
      <w:r>
        <w:rPr>
          <w:rFonts w:cs="Arial"/>
        </w:rPr>
        <w:t xml:space="preserve"> Uruguay S.R.L. :$ 40:743.026,50 (incluye propuesta básica, </w:t>
      </w:r>
      <w:proofErr w:type="spellStart"/>
      <w:r>
        <w:rPr>
          <w:rFonts w:cs="Arial"/>
        </w:rPr>
        <w:t>extrapropuesta</w:t>
      </w:r>
      <w:proofErr w:type="spellEnd"/>
      <w:r>
        <w:rPr>
          <w:rFonts w:cs="Arial"/>
        </w:rPr>
        <w:t xml:space="preserve"> y monto imponible para leyes sociales; declarando desierto el Sector III, al haber renunciado a la adjudicación el único oferente</w:t>
      </w:r>
    </w:p>
    <w:p w:rsidR="00CB4D9E" w:rsidRDefault="00EB0E32" w:rsidP="000A67BE">
      <w:pPr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  <w:bCs/>
        </w:rPr>
        <w:t>2</w:t>
      </w:r>
      <w:r w:rsidR="000A67BE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  <w:r w:rsidR="000A67BE">
        <w:rPr>
          <w:rFonts w:cs="Arial"/>
        </w:rPr>
        <w:t>que en S</w:t>
      </w:r>
      <w:r>
        <w:rPr>
          <w:rFonts w:cs="Arial"/>
        </w:rPr>
        <w:t xml:space="preserve">esión de fecha 28/11/12 el Tribunal acordó observar el gasto correspondiente, en virtud de considerar que: a) la suma de los VECA de las empresas integrantes del  Consorcio </w:t>
      </w:r>
      <w:proofErr w:type="spellStart"/>
      <w:r>
        <w:rPr>
          <w:rFonts w:cs="Arial"/>
        </w:rPr>
        <w:t>Bongiovanni</w:t>
      </w:r>
      <w:proofErr w:type="spellEnd"/>
      <w:r>
        <w:rPr>
          <w:rFonts w:cs="Arial"/>
        </w:rPr>
        <w:t xml:space="preserve">- AYPO al momento de presentar su oferta era inferior al monto de la misma, por lo cual se contravino lo dispuesto por el </w:t>
      </w:r>
      <w:r w:rsidR="000A67BE">
        <w:rPr>
          <w:rFonts w:cs="Arial"/>
        </w:rPr>
        <w:t>A</w:t>
      </w:r>
      <w:r>
        <w:rPr>
          <w:rFonts w:cs="Arial"/>
        </w:rPr>
        <w:t>rt</w:t>
      </w:r>
      <w:r w:rsidR="000A67BE">
        <w:rPr>
          <w:rFonts w:cs="Arial"/>
        </w:rPr>
        <w:t>ículo</w:t>
      </w:r>
      <w:r>
        <w:rPr>
          <w:rFonts w:cs="Arial"/>
        </w:rPr>
        <w:t xml:space="preserve"> 45 del Decreto Nº 208/009; b) no resulta de aplicación, en la etapa de la oferta, lo establecido en el art. 51 del citado decreto que expresa que “en los casos en que el VECA sea insuficiente a los fines de una adjudicación, el Registro podrá incrementar dicho VECA, hasta un 10% del monto a contratar”, en virtud de que dicho artículo refiere a la etapa de adjudicación y “al solo efecto de habilitar a la empresa para la firma del contrato”;c) en la medida en que la apertura de las propuestas se realizó el 28/03/12 el monto a tomar en cuenta para el VECA del Consorcio AYPO era el </w:t>
      </w:r>
      <w:r>
        <w:rPr>
          <w:rFonts w:cs="Arial"/>
        </w:rPr>
        <w:lastRenderedPageBreak/>
        <w:t xml:space="preserve">monto vigente para las licitaciones abreviadas a la fecha de apertura; d) no consta que se haya realizado una publicación en un diario de circulación del respectivo Departamento, tal como preceptúa el penúltimo inciso del </w:t>
      </w:r>
      <w:r w:rsidR="000A67BE">
        <w:rPr>
          <w:rFonts w:cs="Arial"/>
        </w:rPr>
        <w:t>A</w:t>
      </w:r>
      <w:r>
        <w:rPr>
          <w:rFonts w:cs="Arial"/>
        </w:rPr>
        <w:t>rt</w:t>
      </w:r>
      <w:r w:rsidR="000A67BE">
        <w:rPr>
          <w:rFonts w:cs="Arial"/>
        </w:rPr>
        <w:t xml:space="preserve">ículo </w:t>
      </w:r>
      <w:r>
        <w:rPr>
          <w:rFonts w:cs="Arial"/>
        </w:rPr>
        <w:t>47 del TOCAF (vigente al momento del procedimiento).</w:t>
      </w:r>
    </w:p>
    <w:p w:rsidR="00CB4D9E" w:rsidRDefault="00EB0E32" w:rsidP="000A67BE">
      <w:pPr>
        <w:pStyle w:val="Textodebloque"/>
        <w:ind w:left="0" w:right="-1" w:firstLine="2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0A67B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 por Resolución Nº 09030/2012 del 19/12/12</w:t>
      </w:r>
      <w:proofErr w:type="gramStart"/>
      <w:r>
        <w:rPr>
          <w:rFonts w:ascii="Arial" w:hAnsi="Arial" w:cs="Arial"/>
        </w:rPr>
        <w:t>,el</w:t>
      </w:r>
      <w:proofErr w:type="gramEnd"/>
      <w:r>
        <w:rPr>
          <w:rFonts w:ascii="Arial" w:hAnsi="Arial" w:cs="Arial"/>
        </w:rPr>
        <w:t xml:space="preserve"> Intendente reiteró el gasto, manteniendo este Tribunal las observaciones,  excepto la relacionada con el incumplimiento a lo dispuesto por el </w:t>
      </w:r>
      <w:r w:rsidR="000A67BE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0A67BE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 xml:space="preserve"> 47 del TOCAF,  en sesión de fecha 14/02/13 ;</w:t>
      </w:r>
    </w:p>
    <w:p w:rsidR="00CB4D9E" w:rsidRDefault="00EB0E32" w:rsidP="000A67BE">
      <w:pPr>
        <w:pStyle w:val="Textodebloque"/>
        <w:ind w:left="0" w:right="0" w:firstLine="2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0A67BE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que en  agosto de 2013 se procedió a imputar, con cargo al Objeto 5107352160 (“Viviendas obras por contrato”) –5381 (“Viviendas”) las sumas de $ 13.640.000; $11.880.000 y $ 7.480.000 para el pago a las empresas </w:t>
      </w:r>
      <w:proofErr w:type="spellStart"/>
      <w:r>
        <w:rPr>
          <w:rFonts w:ascii="Arial" w:hAnsi="Arial" w:cs="Arial"/>
        </w:rPr>
        <w:t>Bega</w:t>
      </w:r>
      <w:proofErr w:type="spellEnd"/>
      <w:r>
        <w:rPr>
          <w:rFonts w:ascii="Arial" w:hAnsi="Arial" w:cs="Arial"/>
        </w:rPr>
        <w:t xml:space="preserve"> Uruguay SRL.; </w:t>
      </w:r>
      <w:proofErr w:type="spellStart"/>
      <w:r>
        <w:rPr>
          <w:rFonts w:ascii="Arial" w:hAnsi="Arial" w:cs="Arial"/>
        </w:rPr>
        <w:t>Buresil</w:t>
      </w:r>
      <w:proofErr w:type="spellEnd"/>
      <w:r>
        <w:rPr>
          <w:rFonts w:ascii="Arial" w:hAnsi="Arial" w:cs="Arial"/>
        </w:rPr>
        <w:t xml:space="preserve"> S.A y Consorcio </w:t>
      </w:r>
      <w:proofErr w:type="spellStart"/>
      <w:r>
        <w:rPr>
          <w:rFonts w:ascii="Arial" w:hAnsi="Arial" w:cs="Arial"/>
        </w:rPr>
        <w:t>Bongiovanni</w:t>
      </w:r>
      <w:proofErr w:type="spellEnd"/>
      <w:r>
        <w:rPr>
          <w:rFonts w:ascii="Arial" w:hAnsi="Arial" w:cs="Arial"/>
        </w:rPr>
        <w:t>, respectivamente del anticipo financiero del 15% de la oferta y          las siguientes sumas: $ 1.926.771; $ 1.556.599 y $ 699.244 para leyes sociales y $ 2.182.400; $ 1.900.800 y $ 1.196.800 por concepto de ajuste paramétrico respectivamente, dejándose constancia de que al momento de la imputación preventiva  “el rubro no contaba con disponibilidad presupuestal”;</w:t>
      </w:r>
    </w:p>
    <w:p w:rsidR="00CB4D9E" w:rsidRDefault="00EB0E32" w:rsidP="000A67BE">
      <w:pPr>
        <w:pStyle w:val="Textodebloque"/>
        <w:ind w:left="0" w:right="0" w:firstLine="255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5</w:t>
      </w:r>
      <w:r w:rsidR="000A67B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que este Tribunal en sesión de fecha 28 de agosto de 2013 observó el gasto en virtud que si bien el gasto ya fue observado y reiterado oportunamente, en esta instancia asimismo se contraviene lo dispuesto por el Artículo 15 del TOCAF por carecer de disponibilidad; </w:t>
      </w:r>
    </w:p>
    <w:p w:rsidR="00CB4D9E" w:rsidRDefault="00EB0E32" w:rsidP="000A67BE">
      <w:pPr>
        <w:pStyle w:val="Textodebloque"/>
        <w:ind w:left="0" w:right="0" w:firstLine="2552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</w:t>
      </w:r>
      <w:r w:rsidR="000A67B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que por resolución No. 08265/2013 de fecha 18/10/13 el Intendente  dispuso reiterar el gasto expresando que la falta de disponibilidad para el año 2013 se debió a cambios en los cronogramas de ejecución de las inversiones;</w:t>
      </w:r>
      <w:r>
        <w:rPr>
          <w:rFonts w:ascii="Arial" w:hAnsi="Arial" w:cs="Arial"/>
          <w:b/>
          <w:bCs/>
        </w:rPr>
        <w:t xml:space="preserve"> </w:t>
      </w:r>
    </w:p>
    <w:p w:rsidR="00CB4D9E" w:rsidRDefault="00EB0E32" w:rsidP="000A67BE">
      <w:pPr>
        <w:pStyle w:val="Textodebloque"/>
        <w:ind w:left="0" w:right="0" w:firstLine="255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7</w:t>
      </w:r>
      <w:r w:rsidR="000A67B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que la observación fue mantenida en acuerdo de fecha  20 de noviembre de 2013;                        </w:t>
      </w:r>
    </w:p>
    <w:p w:rsidR="00CB4D9E" w:rsidRDefault="00EB0E32" w:rsidP="000A67BE">
      <w:pPr>
        <w:pStyle w:val="Textodebloque"/>
        <w:ind w:left="0" w:right="0" w:firstLine="255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8</w:t>
      </w:r>
      <w:r w:rsidR="000A67BE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 xml:space="preserve"> que en esta oportunidad se remiten las imputaciones Nos. 1043 por $ 1:071.462 (saldo estimado leyes sociales 2013); 1042 por $1:297.309 (saldo estimado ajuste 2013); 1041 por $ 7:631.229 (saldo estimado básico 2013); 1040 por $ 533.364 (saldo estimado 2013 leyes </w:t>
      </w:r>
      <w:r w:rsidRPr="00EB0E32">
        <w:rPr>
          <w:rFonts w:ascii="Arial" w:hAnsi="Arial" w:cs="Arial"/>
          <w:bCs/>
          <w:spacing w:val="16"/>
        </w:rPr>
        <w:lastRenderedPageBreak/>
        <w:t>sociales); 1038 por $ 503.699 (saldo estimado ajuste 2013); 1037 por $</w:t>
      </w:r>
      <w:r>
        <w:rPr>
          <w:rFonts w:ascii="Arial" w:hAnsi="Arial" w:cs="Arial"/>
          <w:bCs/>
        </w:rPr>
        <w:t xml:space="preserve"> 2:962</w:t>
      </w:r>
      <w:r w:rsidR="001512E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937 (saldo estimado 2013 básico); 1036 por $ 1:037.214 (saldo estimado 2013 leyes sociales); 1035 por $ 1:011.687 (saldo estimado 2013 ajuste) y 1034 por $ 5:951.099 (saldo estimado 2013 básico). Todas ellas fueron realizadas al rubro 5107352160 – viviendas obras por contrato derivado 5381 – viviendas.</w:t>
      </w:r>
    </w:p>
    <w:p w:rsidR="00CB4D9E" w:rsidRDefault="00EB0E32" w:rsidP="00EB0E32">
      <w:pPr>
        <w:pStyle w:val="Textodebloque"/>
        <w:ind w:left="0" w:right="0" w:firstLine="255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9) </w:t>
      </w:r>
      <w:r>
        <w:rPr>
          <w:rFonts w:ascii="Arial" w:hAnsi="Arial" w:cs="Arial"/>
          <w:bCs/>
        </w:rPr>
        <w:t>que la División Contaduría informa con fecha 27/11/13  que “al momento de la imputación preventiva el rubro no contaba con disponibilidad presupuestal”.</w:t>
      </w:r>
    </w:p>
    <w:p w:rsidR="00CB4D9E" w:rsidRDefault="00EB0E32" w:rsidP="00EB0E32">
      <w:pPr>
        <w:pStyle w:val="Textodebloque"/>
        <w:ind w:left="0" w:right="0" w:firstLine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CONSIDERANDO: </w:t>
      </w:r>
      <w:r w:rsidRPr="00EB0E32"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que el gasto deriva de un procedimiento observado por este Tribunal, por razones insubsanables;</w:t>
      </w:r>
    </w:p>
    <w:p w:rsidR="00CB4D9E" w:rsidRDefault="00EB0E32" w:rsidP="00EB0E32">
      <w:pPr>
        <w:pStyle w:val="Textodebloque"/>
        <w:ind w:left="0" w:right="0" w:firstLine="283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EB0E32"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que no se puede</w:t>
      </w:r>
      <w:r w:rsidR="001512E6">
        <w:rPr>
          <w:rFonts w:ascii="Arial" w:hAnsi="Arial" w:cs="Arial"/>
          <w:bCs/>
        </w:rPr>
        <w:t>n</w:t>
      </w:r>
      <w:bookmarkStart w:id="0" w:name="_GoBack"/>
      <w:bookmarkEnd w:id="0"/>
      <w:r>
        <w:rPr>
          <w:rFonts w:ascii="Arial" w:hAnsi="Arial" w:cs="Arial"/>
          <w:bCs/>
        </w:rPr>
        <w:t xml:space="preserve"> comprometer gastos sin disponibilidad presupuestal;-</w:t>
      </w:r>
    </w:p>
    <w:p w:rsidR="00CB4D9E" w:rsidRDefault="00EB0E32" w:rsidP="00EB0E32">
      <w:pPr>
        <w:pStyle w:val="Textodebloque"/>
        <w:ind w:left="0" w:right="0" w:firstLine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ATENTO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lo expuesto, y a lo dispuesto por el Artículo 211 Literal B) de la Constitución de la República;</w:t>
      </w:r>
    </w:p>
    <w:p w:rsidR="00CB4D9E" w:rsidRDefault="00EB0E32">
      <w:pPr>
        <w:pStyle w:val="Textodebloque"/>
        <w:ind w:left="0" w:righ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CB4D9E" w:rsidRDefault="00EB0E32">
      <w:pPr>
        <w:pStyle w:val="Textodebloque"/>
        <w:ind w:left="0" w:right="0"/>
        <w:rPr>
          <w:rFonts w:ascii="Arial" w:hAnsi="Arial" w:cs="Arial"/>
          <w:bCs/>
        </w:rPr>
      </w:pPr>
      <w:r w:rsidRPr="00EB0E32"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Observar el gasto; y</w:t>
      </w:r>
    </w:p>
    <w:p w:rsidR="00CB4D9E" w:rsidRDefault="00EB0E32">
      <w:pPr>
        <w:pStyle w:val="Textodebloque"/>
        <w:ind w:left="0" w:right="0"/>
        <w:rPr>
          <w:rFonts w:ascii="Arial" w:hAnsi="Arial" w:cs="Arial"/>
          <w:bCs/>
        </w:rPr>
      </w:pPr>
      <w:r w:rsidRPr="00EB0E32"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Devolver las actuaciones.</w:t>
      </w:r>
    </w:p>
    <w:p w:rsidR="00EB0E32" w:rsidRDefault="00EB0E32">
      <w:pPr>
        <w:pStyle w:val="Textodebloque"/>
        <w:ind w:left="0" w:right="0"/>
        <w:rPr>
          <w:rFonts w:ascii="Arial" w:hAnsi="Arial" w:cs="Arial"/>
          <w:bCs/>
        </w:rPr>
      </w:pPr>
    </w:p>
    <w:p w:rsidR="00EB0E32" w:rsidRDefault="00EB0E32">
      <w:pPr>
        <w:pStyle w:val="Textodebloque"/>
        <w:ind w:left="0" w:right="0"/>
        <w:rPr>
          <w:rFonts w:ascii="Arial" w:hAnsi="Arial" w:cs="Arial"/>
          <w:bCs/>
        </w:rPr>
      </w:pPr>
    </w:p>
    <w:p w:rsidR="00EB0E32" w:rsidRDefault="00EB0E32">
      <w:pPr>
        <w:pStyle w:val="Textodebloque"/>
        <w:ind w:left="0" w:right="0"/>
        <w:rPr>
          <w:rFonts w:ascii="Arial" w:hAnsi="Arial" w:cs="Arial"/>
          <w:bCs/>
        </w:rPr>
      </w:pPr>
    </w:p>
    <w:p w:rsidR="00EB0E32" w:rsidRDefault="00EB0E32">
      <w:pPr>
        <w:pStyle w:val="Textodebloque"/>
        <w:ind w:left="0" w:right="0"/>
        <w:rPr>
          <w:rFonts w:ascii="Arial" w:hAnsi="Arial" w:cs="Arial"/>
          <w:bCs/>
        </w:rPr>
      </w:pPr>
    </w:p>
    <w:p w:rsidR="00EB0E32" w:rsidRDefault="00EB0E32">
      <w:pPr>
        <w:pStyle w:val="Textodebloque"/>
        <w:ind w:left="0" w:right="0"/>
        <w:rPr>
          <w:rFonts w:ascii="Arial" w:hAnsi="Arial" w:cs="Arial"/>
          <w:bCs/>
        </w:rPr>
      </w:pPr>
    </w:p>
    <w:p w:rsidR="00EB0E32" w:rsidRDefault="00EB0E32">
      <w:pPr>
        <w:pStyle w:val="Textodebloque"/>
        <w:ind w:left="0" w:right="0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cr</w:t>
      </w:r>
      <w:proofErr w:type="spellEnd"/>
      <w:proofErr w:type="gramEnd"/>
    </w:p>
    <w:sectPr w:rsidR="00EB0E32">
      <w:footerReference w:type="even" r:id="rId8"/>
      <w:footerReference w:type="default" r:id="rId9"/>
      <w:pgSz w:w="11906" w:h="16838" w:code="9"/>
      <w:pgMar w:top="2835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9E" w:rsidRDefault="00EB0E32">
      <w:r>
        <w:separator/>
      </w:r>
    </w:p>
  </w:endnote>
  <w:endnote w:type="continuationSeparator" w:id="0">
    <w:p w:rsidR="00CB4D9E" w:rsidRDefault="00EB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9E" w:rsidRDefault="00EB0E3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4D9E" w:rsidRDefault="00CB4D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9E" w:rsidRDefault="00EB0E3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12E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B4D9E" w:rsidRDefault="00CB4D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9E" w:rsidRDefault="00EB0E32">
      <w:r>
        <w:separator/>
      </w:r>
    </w:p>
  </w:footnote>
  <w:footnote w:type="continuationSeparator" w:id="0">
    <w:p w:rsidR="00CB4D9E" w:rsidRDefault="00EB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F5474E"/>
    <w:multiLevelType w:val="hybridMultilevel"/>
    <w:tmpl w:val="A8E60B38"/>
    <w:lvl w:ilvl="0" w:tplc="36408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BE"/>
    <w:rsid w:val="000A67BE"/>
    <w:rsid w:val="001512E6"/>
    <w:rsid w:val="00CB4D9E"/>
    <w:rsid w:val="00EB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Textodebloque">
    <w:name w:val="Block Text"/>
    <w:basedOn w:val="Normal"/>
    <w:semiHidden/>
    <w:pPr>
      <w:spacing w:line="360" w:lineRule="auto"/>
      <w:ind w:left="964" w:right="-994"/>
      <w:jc w:val="both"/>
    </w:pPr>
    <w:rPr>
      <w:rFonts w:ascii="Bookman Old Style" w:hAnsi="Bookman Old Style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Textodebloque">
    <w:name w:val="Block Text"/>
    <w:basedOn w:val="Normal"/>
    <w:semiHidden/>
    <w:pPr>
      <w:spacing w:line="360" w:lineRule="auto"/>
      <w:ind w:left="964" w:right="-994"/>
      <w:jc w:val="both"/>
    </w:pPr>
    <w:rPr>
      <w:rFonts w:ascii="Bookman Old Style" w:hAnsi="Bookman Old Style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2 Marzo 2012</vt:lpstr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2 Marzo 2012</dc:title>
  <dc:subject/>
  <dc:creator>tribunal1</dc:creator>
  <cp:keywords/>
  <cp:lastModifiedBy>Miriam Cristina Rivero</cp:lastModifiedBy>
  <cp:revision>2</cp:revision>
  <cp:lastPrinted>2014-01-07T15:24:00Z</cp:lastPrinted>
  <dcterms:created xsi:type="dcterms:W3CDTF">2014-01-07T15:24:00Z</dcterms:created>
  <dcterms:modified xsi:type="dcterms:W3CDTF">2014-01-07T15:24:00Z</dcterms:modified>
</cp:coreProperties>
</file>