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F9" w:rsidRPr="007408F9" w:rsidRDefault="007408F9">
      <w:pPr>
        <w:tabs>
          <w:tab w:val="center" w:pos="4253"/>
        </w:tabs>
        <w:suppressAutoHyphens/>
        <w:jc w:val="center"/>
        <w:rPr>
          <w:rFonts w:ascii="Helvetica" w:hAnsi="Helvetica"/>
          <w:b/>
          <w:sz w:val="24"/>
          <w:szCs w:val="24"/>
          <w:lang w:val="es-ES_tradnl"/>
        </w:rPr>
      </w:pPr>
      <w:r w:rsidRPr="007408F9">
        <w:rPr>
          <w:rFonts w:ascii="Helvetica" w:hAnsi="Helvetica"/>
          <w:b/>
          <w:sz w:val="24"/>
          <w:szCs w:val="24"/>
          <w:lang w:val="es-ES_tradnl"/>
        </w:rPr>
        <w:t>RESOLUCION ADOPTADA POR EL</w:t>
      </w:r>
    </w:p>
    <w:p w:rsidR="007408F9" w:rsidRPr="007408F9" w:rsidRDefault="007408F9">
      <w:pPr>
        <w:tabs>
          <w:tab w:val="left" w:pos="-720"/>
        </w:tabs>
        <w:suppressAutoHyphens/>
        <w:jc w:val="center"/>
        <w:rPr>
          <w:rFonts w:ascii="Helvetica" w:hAnsi="Helvetica"/>
          <w:b/>
          <w:sz w:val="24"/>
          <w:szCs w:val="24"/>
          <w:lang w:val="es-ES_tradnl"/>
        </w:rPr>
      </w:pPr>
    </w:p>
    <w:p w:rsidR="007408F9" w:rsidRPr="007408F9" w:rsidRDefault="007408F9">
      <w:pPr>
        <w:tabs>
          <w:tab w:val="center" w:pos="4253"/>
        </w:tabs>
        <w:suppressAutoHyphens/>
        <w:jc w:val="center"/>
        <w:rPr>
          <w:rFonts w:ascii="Helvetica" w:hAnsi="Helvetica"/>
          <w:b/>
          <w:sz w:val="24"/>
          <w:szCs w:val="24"/>
          <w:lang w:val="es-ES_tradnl"/>
        </w:rPr>
      </w:pPr>
      <w:r w:rsidRPr="007408F9">
        <w:rPr>
          <w:rFonts w:ascii="Helvetica" w:hAnsi="Helvetica"/>
          <w:b/>
          <w:sz w:val="24"/>
          <w:szCs w:val="24"/>
          <w:lang w:val="es-ES_tradnl"/>
        </w:rPr>
        <w:t>TRIBUNAL DE CUENTAS</w:t>
      </w:r>
    </w:p>
    <w:p w:rsidR="007408F9" w:rsidRPr="007408F9" w:rsidRDefault="007408F9">
      <w:pPr>
        <w:tabs>
          <w:tab w:val="left" w:pos="-720"/>
        </w:tabs>
        <w:suppressAutoHyphens/>
        <w:jc w:val="center"/>
        <w:rPr>
          <w:rFonts w:ascii="Helvetica" w:hAnsi="Helvetica"/>
          <w:b/>
          <w:sz w:val="24"/>
          <w:szCs w:val="24"/>
          <w:lang w:val="es-ES_tradnl"/>
        </w:rPr>
      </w:pPr>
    </w:p>
    <w:p w:rsidR="007408F9" w:rsidRPr="007408F9" w:rsidRDefault="007408F9">
      <w:pPr>
        <w:tabs>
          <w:tab w:val="center" w:pos="4253"/>
        </w:tabs>
        <w:suppressAutoHyphens/>
        <w:jc w:val="center"/>
        <w:rPr>
          <w:rFonts w:ascii="Helvetica" w:hAnsi="Helvetica"/>
          <w:b/>
          <w:sz w:val="24"/>
          <w:szCs w:val="24"/>
          <w:lang w:val="es-ES_tradnl"/>
        </w:rPr>
      </w:pPr>
      <w:r w:rsidRPr="007408F9">
        <w:rPr>
          <w:rFonts w:ascii="Helvetica" w:hAnsi="Helvetica"/>
          <w:b/>
          <w:sz w:val="24"/>
          <w:szCs w:val="24"/>
          <w:lang w:val="es-ES_tradnl"/>
        </w:rPr>
        <w:t>EN SESION DE FECHA 30 DE DICIEMBRE DE 2013</w:t>
      </w:r>
    </w:p>
    <w:p w:rsidR="007408F9" w:rsidRPr="007408F9" w:rsidRDefault="007408F9">
      <w:pPr>
        <w:tabs>
          <w:tab w:val="center" w:pos="4253"/>
        </w:tabs>
        <w:suppressAutoHyphens/>
        <w:jc w:val="center"/>
        <w:rPr>
          <w:rFonts w:ascii="Helvetica" w:hAnsi="Helvetica"/>
          <w:b/>
          <w:sz w:val="24"/>
          <w:szCs w:val="24"/>
          <w:lang w:val="es-ES_tradnl"/>
        </w:rPr>
      </w:pPr>
    </w:p>
    <w:p w:rsidR="007408F9" w:rsidRPr="007408F9" w:rsidRDefault="007408F9" w:rsidP="00563757">
      <w:pPr>
        <w:tabs>
          <w:tab w:val="center" w:pos="4253"/>
        </w:tabs>
        <w:suppressAutoHyphens/>
        <w:jc w:val="center"/>
        <w:rPr>
          <w:rFonts w:ascii="Arial" w:hAnsi="Arial" w:cs="Arial"/>
          <w:b/>
          <w:sz w:val="24"/>
          <w:szCs w:val="24"/>
          <w:lang w:val="es-MX"/>
        </w:rPr>
      </w:pPr>
      <w:r w:rsidRPr="007408F9">
        <w:rPr>
          <w:rFonts w:ascii="Arial" w:hAnsi="Arial" w:cs="Arial"/>
          <w:b/>
          <w:sz w:val="24"/>
          <w:szCs w:val="24"/>
          <w:lang w:val="es-ES_tradnl"/>
        </w:rPr>
        <w:t>(E. E. Nº</w:t>
      </w:r>
      <w:r>
        <w:rPr>
          <w:rFonts w:ascii="Arial" w:hAnsi="Arial" w:cs="Arial"/>
          <w:b/>
          <w:sz w:val="24"/>
          <w:szCs w:val="24"/>
          <w:lang w:val="es-ES_tradnl"/>
        </w:rPr>
        <w:t xml:space="preserve"> 2013-17-1-0008424</w:t>
      </w:r>
      <w:r w:rsidRPr="007408F9">
        <w:rPr>
          <w:rFonts w:ascii="Arial" w:hAnsi="Arial" w:cs="Arial"/>
          <w:b/>
          <w:sz w:val="24"/>
          <w:szCs w:val="24"/>
          <w:lang w:val="es-ES_tradnl"/>
        </w:rPr>
        <w:t>,</w:t>
      </w:r>
      <w:r w:rsidRPr="007408F9">
        <w:rPr>
          <w:rFonts w:ascii="Arial" w:hAnsi="Arial" w:cs="Arial"/>
          <w:b/>
          <w:sz w:val="24"/>
          <w:szCs w:val="24"/>
        </w:rPr>
        <w:t xml:space="preserve"> </w:t>
      </w:r>
      <w:r w:rsidRPr="007408F9">
        <w:rPr>
          <w:rFonts w:ascii="Arial" w:hAnsi="Arial" w:cs="Arial"/>
          <w:b/>
          <w:sz w:val="24"/>
          <w:szCs w:val="24"/>
          <w:lang w:val="es-MX"/>
        </w:rPr>
        <w:t>E. N°</w:t>
      </w:r>
      <w:r>
        <w:rPr>
          <w:rFonts w:ascii="Arial" w:hAnsi="Arial" w:cs="Arial"/>
          <w:b/>
          <w:sz w:val="24"/>
          <w:szCs w:val="24"/>
          <w:lang w:val="es-MX"/>
        </w:rPr>
        <w:t xml:space="preserve"> 7186/13.</w:t>
      </w:r>
      <w:r w:rsidRPr="007408F9">
        <w:rPr>
          <w:rFonts w:ascii="Arial" w:hAnsi="Arial" w:cs="Arial"/>
          <w:b/>
          <w:sz w:val="24"/>
          <w:szCs w:val="24"/>
          <w:lang w:val="es-MX"/>
        </w:rPr>
        <w:t>)</w:t>
      </w:r>
    </w:p>
    <w:p w:rsidR="007408F9" w:rsidRPr="007408F9" w:rsidRDefault="007408F9">
      <w:pPr>
        <w:rPr>
          <w:rFonts w:ascii="Arial" w:hAnsi="Arial"/>
          <w:sz w:val="24"/>
          <w:szCs w:val="24"/>
        </w:rPr>
      </w:pPr>
    </w:p>
    <w:p w:rsidR="00780466" w:rsidRPr="007408F9" w:rsidRDefault="00780466" w:rsidP="003E0DAB">
      <w:pPr>
        <w:spacing w:line="360" w:lineRule="auto"/>
        <w:rPr>
          <w:sz w:val="24"/>
          <w:szCs w:val="24"/>
          <w:lang w:val="es-ES_tradnl"/>
        </w:rPr>
      </w:pPr>
    </w:p>
    <w:p w:rsidR="00FD6973" w:rsidRDefault="00FD6973" w:rsidP="007408F9">
      <w:pPr>
        <w:suppressAutoHyphens/>
        <w:spacing w:line="360" w:lineRule="auto"/>
        <w:ind w:firstLine="720"/>
        <w:jc w:val="both"/>
        <w:rPr>
          <w:rFonts w:ascii="Arial" w:hAnsi="Arial" w:cs="Arial"/>
          <w:spacing w:val="-3"/>
          <w:sz w:val="24"/>
          <w:lang w:val="es-ES_tradnl"/>
        </w:rPr>
      </w:pPr>
      <w:r>
        <w:rPr>
          <w:rFonts w:ascii="Arial" w:hAnsi="Arial" w:cs="Arial"/>
          <w:b/>
          <w:bCs/>
          <w:spacing w:val="-3"/>
          <w:sz w:val="24"/>
          <w:lang w:val="es-ES_tradnl"/>
        </w:rPr>
        <w:t>VISTO</w:t>
      </w:r>
      <w:proofErr w:type="gramStart"/>
      <w:r w:rsidRPr="007408F9">
        <w:rPr>
          <w:rFonts w:ascii="Arial" w:hAnsi="Arial" w:cs="Arial"/>
          <w:bCs/>
          <w:spacing w:val="-3"/>
          <w:sz w:val="24"/>
          <w:lang w:val="es-ES_tradnl"/>
        </w:rPr>
        <w:t>:</w:t>
      </w:r>
      <w:r w:rsidR="007408F9">
        <w:rPr>
          <w:rFonts w:ascii="Arial" w:hAnsi="Arial" w:cs="Arial"/>
          <w:bCs/>
          <w:spacing w:val="-3"/>
          <w:sz w:val="24"/>
          <w:lang w:val="es-ES_tradnl"/>
        </w:rPr>
        <w:t xml:space="preserve"> </w:t>
      </w:r>
      <w:r w:rsidRPr="007408F9">
        <w:rPr>
          <w:rFonts w:ascii="Arial" w:hAnsi="Arial" w:cs="Arial"/>
          <w:bCs/>
          <w:spacing w:val="-3"/>
          <w:sz w:val="24"/>
          <w:lang w:val="es-ES_tradnl"/>
        </w:rPr>
        <w:t xml:space="preserve"> </w:t>
      </w:r>
      <w:r w:rsidR="007408F9" w:rsidRPr="007408F9">
        <w:rPr>
          <w:rFonts w:ascii="Arial" w:hAnsi="Arial" w:cs="Arial"/>
          <w:bCs/>
          <w:spacing w:val="-3"/>
          <w:sz w:val="24"/>
          <w:lang w:val="es-ES_tradnl"/>
        </w:rPr>
        <w:t>l</w:t>
      </w:r>
      <w:r>
        <w:rPr>
          <w:rFonts w:ascii="Arial" w:hAnsi="Arial" w:cs="Arial"/>
          <w:bCs/>
          <w:spacing w:val="-3"/>
          <w:sz w:val="24"/>
          <w:lang w:val="es-ES_tradnl"/>
        </w:rPr>
        <w:t>as</w:t>
      </w:r>
      <w:proofErr w:type="gramEnd"/>
      <w:r>
        <w:rPr>
          <w:rFonts w:ascii="Arial" w:hAnsi="Arial" w:cs="Arial"/>
          <w:bCs/>
          <w:spacing w:val="-3"/>
          <w:sz w:val="24"/>
          <w:lang w:val="es-ES_tradnl"/>
        </w:rPr>
        <w:t xml:space="preserve"> nuevas actuaciones remitidas por</w:t>
      </w:r>
      <w:r>
        <w:rPr>
          <w:rFonts w:ascii="Arial" w:hAnsi="Arial" w:cs="Arial"/>
          <w:spacing w:val="-3"/>
          <w:sz w:val="24"/>
          <w:lang w:val="es-ES_tradnl"/>
        </w:rPr>
        <w:t xml:space="preserve"> el Ministerio de Economía y </w:t>
      </w:r>
      <w:r w:rsidRPr="007408F9">
        <w:rPr>
          <w:rFonts w:ascii="Arial" w:hAnsi="Arial" w:cs="Arial"/>
          <w:spacing w:val="4"/>
          <w:sz w:val="24"/>
          <w:lang w:val="es-ES_tradnl"/>
        </w:rPr>
        <w:t>Finanzas,</w:t>
      </w:r>
      <w:r w:rsidR="006B5772">
        <w:rPr>
          <w:rFonts w:ascii="Arial" w:hAnsi="Arial" w:cs="Arial"/>
          <w:spacing w:val="4"/>
          <w:sz w:val="24"/>
          <w:lang w:val="es-ES_tradnl"/>
        </w:rPr>
        <w:t xml:space="preserve"> </w:t>
      </w:r>
      <w:r w:rsidR="00C93465" w:rsidRPr="007408F9">
        <w:rPr>
          <w:rFonts w:ascii="Arial" w:hAnsi="Arial" w:cs="Arial"/>
          <w:spacing w:val="4"/>
          <w:sz w:val="24"/>
          <w:lang w:val="es-ES_tradnl"/>
        </w:rPr>
        <w:t xml:space="preserve">Dirección General Impositiva </w:t>
      </w:r>
      <w:r w:rsidRPr="007408F9">
        <w:rPr>
          <w:rFonts w:ascii="Arial" w:hAnsi="Arial" w:cs="Arial"/>
          <w:spacing w:val="4"/>
          <w:sz w:val="24"/>
          <w:lang w:val="es-ES_tradnl"/>
        </w:rPr>
        <w:t>relacionadas con la Licitación Pública N°</w:t>
      </w:r>
      <w:r>
        <w:rPr>
          <w:rFonts w:ascii="Arial" w:hAnsi="Arial" w:cs="Arial"/>
          <w:spacing w:val="-3"/>
          <w:sz w:val="24"/>
          <w:lang w:val="es-ES_tradnl"/>
        </w:rPr>
        <w:t xml:space="preserve"> </w:t>
      </w:r>
      <w:r w:rsidR="00C93465">
        <w:rPr>
          <w:rFonts w:ascii="Arial" w:hAnsi="Arial" w:cs="Arial"/>
          <w:spacing w:val="-3"/>
          <w:sz w:val="24"/>
          <w:lang w:val="es-ES_tradnl"/>
        </w:rPr>
        <w:t>2</w:t>
      </w:r>
      <w:r>
        <w:rPr>
          <w:rFonts w:ascii="Arial" w:hAnsi="Arial" w:cs="Arial"/>
          <w:spacing w:val="-3"/>
          <w:sz w:val="24"/>
          <w:lang w:val="es-ES_tradnl"/>
        </w:rPr>
        <w:t>/2010 c</w:t>
      </w:r>
      <w:r w:rsidR="00C93465">
        <w:rPr>
          <w:rFonts w:ascii="Arial" w:hAnsi="Arial" w:cs="Arial"/>
          <w:spacing w:val="-3"/>
          <w:sz w:val="24"/>
          <w:lang w:val="es-ES_tradnl"/>
        </w:rPr>
        <w:t>onvocada para la contratación de una Consultoría en administración, soporte, operación y configuración de los diferentes sistemas de computación y comunicación, por el plazo de un año, entre el 1.3.11 al 31.12.11, renovable automáticamente por hasta dos períodos de un año.</w:t>
      </w:r>
      <w:r>
        <w:rPr>
          <w:rFonts w:ascii="Arial" w:hAnsi="Arial" w:cs="Arial"/>
          <w:spacing w:val="-3"/>
          <w:sz w:val="24"/>
          <w:lang w:val="es-ES_tradnl"/>
        </w:rPr>
        <w:t xml:space="preserve">  </w:t>
      </w:r>
    </w:p>
    <w:p w:rsidR="00FD6973" w:rsidRDefault="00FD6973" w:rsidP="007408F9">
      <w:pPr>
        <w:pStyle w:val="Ttulo1"/>
        <w:ind w:firstLine="720"/>
        <w:jc w:val="both"/>
      </w:pPr>
      <w:r>
        <w:t>RESULTANDO:</w:t>
      </w:r>
      <w:r w:rsidR="008D2F27">
        <w:t xml:space="preserve"> </w:t>
      </w:r>
      <w:r>
        <w:t xml:space="preserve">1) </w:t>
      </w:r>
      <w:r w:rsidR="007408F9" w:rsidRPr="007408F9">
        <w:rPr>
          <w:b w:val="0"/>
        </w:rPr>
        <w:t>q</w:t>
      </w:r>
      <w:r w:rsidRPr="001902A5">
        <w:rPr>
          <w:b w:val="0"/>
        </w:rPr>
        <w:t xml:space="preserve">ue </w:t>
      </w:r>
      <w:r w:rsidR="007408F9">
        <w:rPr>
          <w:b w:val="0"/>
        </w:rPr>
        <w:t>e</w:t>
      </w:r>
      <w:r w:rsidRPr="001902A5">
        <w:rPr>
          <w:b w:val="0"/>
        </w:rPr>
        <w:t>ste Tribunal en Sesión de</w:t>
      </w:r>
      <w:r w:rsidR="001902A5">
        <w:rPr>
          <w:b w:val="0"/>
        </w:rPr>
        <w:t>l</w:t>
      </w:r>
      <w:r w:rsidRPr="001902A5">
        <w:rPr>
          <w:b w:val="0"/>
        </w:rPr>
        <w:t xml:space="preserve"> </w:t>
      </w:r>
      <w:r w:rsidR="001902A5" w:rsidRPr="001902A5">
        <w:rPr>
          <w:b w:val="0"/>
        </w:rPr>
        <w:t>4.11.10</w:t>
      </w:r>
      <w:r w:rsidR="001902A5">
        <w:rPr>
          <w:b w:val="0"/>
        </w:rPr>
        <w:t xml:space="preserve"> cometió</w:t>
      </w:r>
      <w:r w:rsidR="001902A5" w:rsidRPr="001902A5">
        <w:rPr>
          <w:b w:val="0"/>
        </w:rPr>
        <w:t xml:space="preserve"> al Contador </w:t>
      </w:r>
      <w:r w:rsidR="001902A5">
        <w:rPr>
          <w:b w:val="0"/>
        </w:rPr>
        <w:t>Auditor</w:t>
      </w:r>
      <w:r w:rsidR="001902A5" w:rsidRPr="001902A5">
        <w:rPr>
          <w:b w:val="0"/>
        </w:rPr>
        <w:t xml:space="preserve"> en el</w:t>
      </w:r>
      <w:r w:rsidR="001902A5">
        <w:rPr>
          <w:b w:val="0"/>
        </w:rPr>
        <w:t xml:space="preserve"> Organismo</w:t>
      </w:r>
      <w:r w:rsidR="00DA1F5C">
        <w:rPr>
          <w:b w:val="0"/>
        </w:rPr>
        <w:t xml:space="preserve">, que una vez dictada Resolución definitiva por </w:t>
      </w:r>
      <w:proofErr w:type="gramStart"/>
      <w:r w:rsidR="00DA1F5C">
        <w:rPr>
          <w:b w:val="0"/>
        </w:rPr>
        <w:t>el</w:t>
      </w:r>
      <w:proofErr w:type="gramEnd"/>
      <w:r w:rsidR="00DA1F5C">
        <w:rPr>
          <w:b w:val="0"/>
        </w:rPr>
        <w:t xml:space="preserve"> ordenador competente, </w:t>
      </w:r>
      <w:proofErr w:type="spellStart"/>
      <w:r w:rsidR="00DA1F5C">
        <w:rPr>
          <w:b w:val="0"/>
        </w:rPr>
        <w:t>intervinera</w:t>
      </w:r>
      <w:proofErr w:type="spellEnd"/>
      <w:r w:rsidR="00DA1F5C">
        <w:rPr>
          <w:b w:val="0"/>
        </w:rPr>
        <w:t xml:space="preserve"> </w:t>
      </w:r>
      <w:r w:rsidR="001902A5" w:rsidRPr="001902A5">
        <w:rPr>
          <w:b w:val="0"/>
        </w:rPr>
        <w:t xml:space="preserve">el gasto total de $ 12:988.403 IVA incluido) a favor de la firma IBM DEL URUGUAY S.A. por el período comprendido entre el 1°/1/2011 y el 31/12/2011, así como el emergente de las dos prórrogas automáticas de un año cada una.” previo control de su imputación al grupo adecuado con disponibilidad suficiente así como del control de lo establecido en el Artículo 3 de la Ley 18.244 de 27/12/2007. </w:t>
      </w:r>
      <w:r w:rsidR="00DA1F5C">
        <w:rPr>
          <w:b w:val="0"/>
        </w:rPr>
        <w:t>Le c</w:t>
      </w:r>
      <w:r w:rsidR="001902A5" w:rsidRPr="001902A5">
        <w:rPr>
          <w:b w:val="0"/>
        </w:rPr>
        <w:t>om</w:t>
      </w:r>
      <w:r w:rsidR="00DA1F5C">
        <w:rPr>
          <w:b w:val="0"/>
        </w:rPr>
        <w:t xml:space="preserve">etió </w:t>
      </w:r>
      <w:r w:rsidR="001902A5" w:rsidRPr="001902A5">
        <w:rPr>
          <w:b w:val="0"/>
        </w:rPr>
        <w:t>asimismo la verificación que la Resolución Definitiva conc</w:t>
      </w:r>
      <w:r w:rsidR="00DA1F5C">
        <w:rPr>
          <w:b w:val="0"/>
        </w:rPr>
        <w:t>ordara</w:t>
      </w:r>
      <w:r w:rsidR="001902A5" w:rsidRPr="001902A5">
        <w:rPr>
          <w:b w:val="0"/>
        </w:rPr>
        <w:t xml:space="preserve"> con las condiciones de la contratación sometidas a este Tribunal (Art</w:t>
      </w:r>
      <w:r w:rsidR="007408F9">
        <w:rPr>
          <w:b w:val="0"/>
        </w:rPr>
        <w:t xml:space="preserve">ículo </w:t>
      </w:r>
      <w:r w:rsidR="001902A5" w:rsidRPr="001902A5">
        <w:rPr>
          <w:b w:val="0"/>
        </w:rPr>
        <w:t xml:space="preserve"> 8 de la Ordenanza N° 27 de fecha 22/5/58 en la redacción sustitutiva dispuesta por </w:t>
      </w:r>
      <w:r w:rsidR="00DA1F5C">
        <w:rPr>
          <w:b w:val="0"/>
        </w:rPr>
        <w:t xml:space="preserve">Resolución </w:t>
      </w:r>
      <w:r w:rsidR="001902A5" w:rsidRPr="001902A5">
        <w:rPr>
          <w:b w:val="0"/>
        </w:rPr>
        <w:t>del 16/6/2010).</w:t>
      </w:r>
    </w:p>
    <w:p w:rsidR="00DA1F5C" w:rsidRDefault="007408F9" w:rsidP="007408F9">
      <w:pPr>
        <w:suppressAutoHyphens/>
        <w:spacing w:line="360" w:lineRule="auto"/>
        <w:ind w:firstLine="2552"/>
        <w:jc w:val="both"/>
        <w:rPr>
          <w:rFonts w:ascii="Arial" w:hAnsi="Arial" w:cs="Arial"/>
          <w:spacing w:val="-3"/>
          <w:sz w:val="24"/>
          <w:lang w:val="es-ES_tradnl"/>
        </w:rPr>
      </w:pPr>
      <w:r>
        <w:rPr>
          <w:rFonts w:ascii="Arial" w:hAnsi="Arial" w:cs="Arial"/>
          <w:b/>
          <w:bCs/>
          <w:spacing w:val="-3"/>
          <w:sz w:val="24"/>
          <w:lang w:val="es-ES_tradnl"/>
        </w:rPr>
        <w:t xml:space="preserve"> </w:t>
      </w:r>
      <w:r w:rsidR="00FD6973">
        <w:rPr>
          <w:rFonts w:ascii="Arial" w:hAnsi="Arial" w:cs="Arial"/>
          <w:b/>
          <w:bCs/>
          <w:spacing w:val="-3"/>
          <w:sz w:val="24"/>
          <w:lang w:val="es-ES_tradnl"/>
        </w:rPr>
        <w:t>2)</w:t>
      </w:r>
      <w:r w:rsidR="00FD6973">
        <w:rPr>
          <w:rFonts w:ascii="Arial" w:hAnsi="Arial" w:cs="Arial"/>
          <w:spacing w:val="-3"/>
          <w:sz w:val="24"/>
          <w:lang w:val="es-ES_tradnl"/>
        </w:rPr>
        <w:t xml:space="preserve"> que posteriormente se remitió </w:t>
      </w:r>
      <w:r w:rsidR="008B7953">
        <w:rPr>
          <w:rFonts w:ascii="Arial" w:hAnsi="Arial" w:cs="Arial"/>
          <w:spacing w:val="-3"/>
          <w:sz w:val="24"/>
          <w:lang w:val="es-ES_tradnl"/>
        </w:rPr>
        <w:t xml:space="preserve"> Resolución del Poder  Ejecutivo del 28.2.12 por la que se dispuso la renovación del contrato con IBM del Uruguay S.A a partir del 20.1.12</w:t>
      </w:r>
      <w:r w:rsidR="00780466">
        <w:rPr>
          <w:rFonts w:ascii="Arial" w:hAnsi="Arial" w:cs="Arial"/>
          <w:spacing w:val="-3"/>
          <w:sz w:val="24"/>
          <w:lang w:val="es-ES_tradnl"/>
        </w:rPr>
        <w:t xml:space="preserve">, habiendo tomado conocimiento </w:t>
      </w:r>
      <w:r>
        <w:rPr>
          <w:rFonts w:ascii="Arial" w:hAnsi="Arial" w:cs="Arial"/>
          <w:spacing w:val="-3"/>
          <w:sz w:val="24"/>
          <w:lang w:val="es-ES_tradnl"/>
        </w:rPr>
        <w:t>e</w:t>
      </w:r>
      <w:r w:rsidR="00780466">
        <w:rPr>
          <w:rFonts w:ascii="Arial" w:hAnsi="Arial" w:cs="Arial"/>
          <w:spacing w:val="-3"/>
          <w:sz w:val="24"/>
          <w:lang w:val="es-ES_tradnl"/>
        </w:rPr>
        <w:t>ste Tribunal</w:t>
      </w:r>
      <w:r>
        <w:rPr>
          <w:rFonts w:ascii="Arial" w:hAnsi="Arial" w:cs="Arial"/>
          <w:spacing w:val="-3"/>
          <w:sz w:val="24"/>
          <w:lang w:val="es-ES_tradnl"/>
        </w:rPr>
        <w:t>;</w:t>
      </w:r>
    </w:p>
    <w:p w:rsidR="00B00631" w:rsidRDefault="007408F9" w:rsidP="007408F9">
      <w:pPr>
        <w:suppressAutoHyphens/>
        <w:spacing w:line="360" w:lineRule="auto"/>
        <w:ind w:firstLine="2552"/>
        <w:jc w:val="both"/>
        <w:rPr>
          <w:rFonts w:ascii="Arial" w:hAnsi="Arial" w:cs="Arial"/>
          <w:b/>
          <w:spacing w:val="-3"/>
          <w:sz w:val="24"/>
          <w:lang w:val="es-ES_tradnl"/>
        </w:rPr>
      </w:pPr>
      <w:r>
        <w:rPr>
          <w:rFonts w:ascii="Arial" w:hAnsi="Arial" w:cs="Arial"/>
          <w:b/>
          <w:spacing w:val="-3"/>
          <w:sz w:val="24"/>
          <w:lang w:val="es-ES_tradnl"/>
        </w:rPr>
        <w:t xml:space="preserve"> </w:t>
      </w:r>
    </w:p>
    <w:p w:rsidR="00FD6973" w:rsidRDefault="00DA1F5C" w:rsidP="007408F9">
      <w:pPr>
        <w:suppressAutoHyphens/>
        <w:spacing w:line="360" w:lineRule="auto"/>
        <w:ind w:firstLine="2552"/>
        <w:jc w:val="both"/>
        <w:rPr>
          <w:rFonts w:ascii="Arial" w:hAnsi="Arial" w:cs="Arial"/>
          <w:spacing w:val="-3"/>
          <w:sz w:val="24"/>
          <w:lang w:val="es-ES_tradnl"/>
        </w:rPr>
      </w:pPr>
      <w:bookmarkStart w:id="0" w:name="_GoBack"/>
      <w:bookmarkEnd w:id="0"/>
      <w:r w:rsidRPr="00DA1F5C">
        <w:rPr>
          <w:rFonts w:ascii="Arial" w:hAnsi="Arial" w:cs="Arial"/>
          <w:b/>
          <w:spacing w:val="-3"/>
          <w:sz w:val="24"/>
          <w:lang w:val="es-ES_tradnl"/>
        </w:rPr>
        <w:lastRenderedPageBreak/>
        <w:t>3)</w:t>
      </w:r>
      <w:r>
        <w:rPr>
          <w:rFonts w:ascii="Arial" w:hAnsi="Arial" w:cs="Arial"/>
          <w:spacing w:val="-3"/>
          <w:sz w:val="24"/>
          <w:lang w:val="es-ES_tradnl"/>
        </w:rPr>
        <w:t xml:space="preserve"> que </w:t>
      </w:r>
      <w:r w:rsidR="00780466">
        <w:rPr>
          <w:rFonts w:ascii="Arial" w:hAnsi="Arial" w:cs="Arial"/>
          <w:spacing w:val="-3"/>
          <w:sz w:val="24"/>
          <w:lang w:val="es-ES_tradnl"/>
        </w:rPr>
        <w:t xml:space="preserve">luce nota del Departamento de contrataciones del Organismo de fecha 11.11.13 en la que se indica que al finalizar el contrato el próximo 31.12.13 y afín de no resentir el servicio, dado que se encuentra en trámite la </w:t>
      </w:r>
      <w:r w:rsidR="007408F9">
        <w:rPr>
          <w:rFonts w:ascii="Arial" w:hAnsi="Arial" w:cs="Arial"/>
          <w:spacing w:val="-3"/>
          <w:sz w:val="24"/>
          <w:lang w:val="es-ES_tradnl"/>
        </w:rPr>
        <w:t>L</w:t>
      </w:r>
      <w:r w:rsidR="00780466">
        <w:rPr>
          <w:rFonts w:ascii="Arial" w:hAnsi="Arial" w:cs="Arial"/>
          <w:spacing w:val="-3"/>
          <w:sz w:val="24"/>
          <w:lang w:val="es-ES_tradnl"/>
        </w:rPr>
        <w:t xml:space="preserve">icitación 6/2013, se solicitó a la adjudicataria la conformidad de ampliar el plazo de contratación de acuerdo al </w:t>
      </w:r>
      <w:r w:rsidR="007408F9">
        <w:rPr>
          <w:rFonts w:ascii="Arial" w:hAnsi="Arial" w:cs="Arial"/>
          <w:spacing w:val="-3"/>
          <w:sz w:val="24"/>
          <w:lang w:val="es-ES_tradnl"/>
        </w:rPr>
        <w:t>A</w:t>
      </w:r>
      <w:r w:rsidR="00780466">
        <w:rPr>
          <w:rFonts w:ascii="Arial" w:hAnsi="Arial" w:cs="Arial"/>
          <w:spacing w:val="-3"/>
          <w:sz w:val="24"/>
          <w:lang w:val="es-ES_tradnl"/>
        </w:rPr>
        <w:t>rt</w:t>
      </w:r>
      <w:r w:rsidR="007408F9">
        <w:rPr>
          <w:rFonts w:ascii="Arial" w:hAnsi="Arial" w:cs="Arial"/>
          <w:spacing w:val="-3"/>
          <w:sz w:val="24"/>
          <w:lang w:val="es-ES_tradnl"/>
        </w:rPr>
        <w:t>ículo</w:t>
      </w:r>
      <w:r w:rsidR="00780466">
        <w:rPr>
          <w:rFonts w:ascii="Arial" w:hAnsi="Arial" w:cs="Arial"/>
          <w:spacing w:val="-3"/>
          <w:sz w:val="24"/>
          <w:lang w:val="es-ES_tradnl"/>
        </w:rPr>
        <w:t xml:space="preserve"> 74 del TOCAF</w:t>
      </w:r>
      <w:r>
        <w:rPr>
          <w:rFonts w:ascii="Arial" w:hAnsi="Arial" w:cs="Arial"/>
          <w:spacing w:val="-3"/>
          <w:sz w:val="24"/>
          <w:lang w:val="es-ES_tradnl"/>
        </w:rPr>
        <w:t>;</w:t>
      </w:r>
    </w:p>
    <w:p w:rsidR="00FD6973" w:rsidRDefault="00DA1F5C" w:rsidP="007408F9">
      <w:pPr>
        <w:pStyle w:val="Textoindependiente"/>
        <w:spacing w:line="360" w:lineRule="auto"/>
        <w:ind w:firstLine="2694"/>
        <w:rPr>
          <w:rFonts w:ascii="Arial" w:hAnsi="Arial" w:cs="Arial"/>
        </w:rPr>
      </w:pPr>
      <w:r>
        <w:rPr>
          <w:rFonts w:ascii="Arial" w:hAnsi="Arial" w:cs="Arial"/>
          <w:b/>
        </w:rPr>
        <w:t>4</w:t>
      </w:r>
      <w:r w:rsidR="00FD6973" w:rsidRPr="00780466">
        <w:rPr>
          <w:rFonts w:ascii="Arial" w:hAnsi="Arial" w:cs="Arial"/>
          <w:b/>
          <w:bCs/>
        </w:rPr>
        <w:t>)</w:t>
      </w:r>
      <w:r w:rsidR="00FD6973">
        <w:rPr>
          <w:rFonts w:ascii="Arial" w:hAnsi="Arial" w:cs="Arial"/>
        </w:rPr>
        <w:t xml:space="preserve"> que en la oportunidad se remite Proyecto de Resolución a los efectos de la </w:t>
      </w:r>
      <w:r w:rsidR="00780466">
        <w:rPr>
          <w:rFonts w:ascii="Arial" w:hAnsi="Arial" w:cs="Arial"/>
        </w:rPr>
        <w:t xml:space="preserve">ampliación del plazo </w:t>
      </w:r>
      <w:r w:rsidR="00FD6973">
        <w:rPr>
          <w:rFonts w:ascii="Arial" w:hAnsi="Arial" w:cs="Arial"/>
        </w:rPr>
        <w:t xml:space="preserve">por el término de </w:t>
      </w:r>
      <w:r w:rsidR="00780466">
        <w:rPr>
          <w:rFonts w:ascii="Arial" w:hAnsi="Arial" w:cs="Arial"/>
        </w:rPr>
        <w:t>6</w:t>
      </w:r>
      <w:r w:rsidR="00FD6973">
        <w:rPr>
          <w:rFonts w:ascii="Arial" w:hAnsi="Arial" w:cs="Arial"/>
        </w:rPr>
        <w:t xml:space="preserve"> meses a partir del 1 de enero de 201</w:t>
      </w:r>
      <w:r w:rsidR="00780466">
        <w:rPr>
          <w:rFonts w:ascii="Arial" w:hAnsi="Arial" w:cs="Arial"/>
        </w:rPr>
        <w:t>4</w:t>
      </w:r>
      <w:r w:rsidR="00FD6973">
        <w:rPr>
          <w:rFonts w:ascii="Arial" w:hAnsi="Arial" w:cs="Arial"/>
        </w:rPr>
        <w:t xml:space="preserve">, </w:t>
      </w:r>
      <w:r w:rsidR="009C4DD9">
        <w:rPr>
          <w:rFonts w:ascii="Arial" w:hAnsi="Arial" w:cs="Arial"/>
        </w:rPr>
        <w:t xml:space="preserve">lo que equivale a un 25% de la contratación </w:t>
      </w:r>
      <w:r w:rsidR="009C4DD9" w:rsidRPr="001B19BF">
        <w:rPr>
          <w:rFonts w:ascii="Arial" w:hAnsi="Arial" w:cs="Arial"/>
          <w:spacing w:val="14"/>
        </w:rPr>
        <w:t>original, señalándose que el monto total a valores de diciembre 2013 es de $</w:t>
      </w:r>
      <w:r w:rsidR="009C4DD9">
        <w:rPr>
          <w:rFonts w:ascii="Arial" w:hAnsi="Arial" w:cs="Arial"/>
        </w:rPr>
        <w:t xml:space="preserve"> 7.950.600 IVA </w:t>
      </w:r>
      <w:r>
        <w:rPr>
          <w:rFonts w:ascii="Arial" w:hAnsi="Arial" w:cs="Arial"/>
        </w:rPr>
        <w:t>incluido;</w:t>
      </w:r>
      <w:r w:rsidR="009C4DD9">
        <w:rPr>
          <w:rFonts w:ascii="Arial" w:hAnsi="Arial" w:cs="Arial"/>
        </w:rPr>
        <w:t xml:space="preserve"> </w:t>
      </w:r>
    </w:p>
    <w:p w:rsidR="00FD6973" w:rsidRDefault="00FD6973" w:rsidP="007408F9">
      <w:pPr>
        <w:pStyle w:val="Textoindependiente"/>
        <w:spacing w:line="360" w:lineRule="auto"/>
        <w:ind w:firstLine="720"/>
        <w:rPr>
          <w:rFonts w:ascii="Arial" w:hAnsi="Arial" w:cs="Arial"/>
        </w:rPr>
      </w:pPr>
      <w:r>
        <w:rPr>
          <w:rFonts w:ascii="Arial" w:hAnsi="Arial" w:cs="Arial"/>
          <w:b/>
          <w:bCs/>
        </w:rPr>
        <w:t>CONSIDERANDO:</w:t>
      </w:r>
      <w:r>
        <w:rPr>
          <w:rFonts w:ascii="Arial" w:hAnsi="Arial" w:cs="Arial"/>
        </w:rPr>
        <w:t xml:space="preserve"> que la </w:t>
      </w:r>
      <w:r w:rsidR="00DA1F5C">
        <w:rPr>
          <w:rFonts w:ascii="Arial" w:hAnsi="Arial" w:cs="Arial"/>
        </w:rPr>
        <w:t xml:space="preserve">ampliación tramitada </w:t>
      </w:r>
      <w:r w:rsidR="009C4DD9">
        <w:rPr>
          <w:rFonts w:ascii="Arial" w:hAnsi="Arial" w:cs="Arial"/>
        </w:rPr>
        <w:t xml:space="preserve">se ajusta a </w:t>
      </w:r>
      <w:r w:rsidR="00DA1F5C">
        <w:rPr>
          <w:rFonts w:ascii="Arial" w:hAnsi="Arial" w:cs="Arial"/>
        </w:rPr>
        <w:t>lo establecido</w:t>
      </w:r>
      <w:r w:rsidR="009C4DD9">
        <w:rPr>
          <w:rFonts w:ascii="Arial" w:hAnsi="Arial" w:cs="Arial"/>
        </w:rPr>
        <w:t xml:space="preserve"> en el </w:t>
      </w:r>
      <w:r w:rsidR="007408F9">
        <w:rPr>
          <w:rFonts w:ascii="Arial" w:hAnsi="Arial" w:cs="Arial"/>
        </w:rPr>
        <w:t>A</w:t>
      </w:r>
      <w:r w:rsidR="009C4DD9">
        <w:rPr>
          <w:rFonts w:ascii="Arial" w:hAnsi="Arial" w:cs="Arial"/>
        </w:rPr>
        <w:t>rt</w:t>
      </w:r>
      <w:r w:rsidR="007408F9">
        <w:rPr>
          <w:rFonts w:ascii="Arial" w:hAnsi="Arial" w:cs="Arial"/>
        </w:rPr>
        <w:t>ículo</w:t>
      </w:r>
      <w:r w:rsidR="009C4DD9">
        <w:rPr>
          <w:rFonts w:ascii="Arial" w:hAnsi="Arial" w:cs="Arial"/>
        </w:rPr>
        <w:t xml:space="preserve"> 74 del TOCAF.</w:t>
      </w:r>
    </w:p>
    <w:p w:rsidR="00FD6973" w:rsidRDefault="00FD6973" w:rsidP="007408F9">
      <w:pPr>
        <w:pStyle w:val="Textoindependiente"/>
        <w:spacing w:line="360" w:lineRule="auto"/>
        <w:ind w:firstLine="720"/>
        <w:rPr>
          <w:rFonts w:ascii="Arial" w:hAnsi="Arial" w:cs="Arial"/>
        </w:rPr>
      </w:pPr>
      <w:r>
        <w:rPr>
          <w:rFonts w:ascii="Arial" w:hAnsi="Arial" w:cs="Arial"/>
          <w:b/>
          <w:bCs/>
        </w:rPr>
        <w:t>ATENTO:</w:t>
      </w:r>
      <w:r>
        <w:rPr>
          <w:rFonts w:ascii="Arial" w:hAnsi="Arial" w:cs="Arial"/>
        </w:rPr>
        <w:t xml:space="preserve"> a lo establecido en el </w:t>
      </w:r>
      <w:r w:rsidR="007408F9">
        <w:rPr>
          <w:rFonts w:ascii="Arial" w:hAnsi="Arial" w:cs="Arial"/>
        </w:rPr>
        <w:t>A</w:t>
      </w:r>
      <w:r>
        <w:rPr>
          <w:rFonts w:ascii="Arial" w:hAnsi="Arial" w:cs="Arial"/>
        </w:rPr>
        <w:t xml:space="preserve">rtículo 211 Literal </w:t>
      </w:r>
      <w:r w:rsidR="007408F9">
        <w:rPr>
          <w:rFonts w:ascii="Arial" w:hAnsi="Arial" w:cs="Arial"/>
        </w:rPr>
        <w:t>B</w:t>
      </w:r>
      <w:r>
        <w:rPr>
          <w:rFonts w:ascii="Arial" w:hAnsi="Arial" w:cs="Arial"/>
        </w:rPr>
        <w:t>) de la Constitución de la República;</w:t>
      </w:r>
    </w:p>
    <w:p w:rsidR="00FD6973" w:rsidRDefault="00FD6973" w:rsidP="003E0DAB">
      <w:pPr>
        <w:pStyle w:val="Textoindependiente"/>
        <w:spacing w:line="360" w:lineRule="auto"/>
        <w:ind w:firstLine="720"/>
        <w:jc w:val="center"/>
        <w:rPr>
          <w:rFonts w:ascii="Arial" w:hAnsi="Arial" w:cs="Arial"/>
          <w:b/>
          <w:bCs/>
        </w:rPr>
      </w:pPr>
      <w:r>
        <w:rPr>
          <w:rFonts w:ascii="Arial" w:hAnsi="Arial" w:cs="Arial"/>
          <w:b/>
          <w:bCs/>
        </w:rPr>
        <w:t>EL TRIBUNAL ACUERDA</w:t>
      </w:r>
      <w:r w:rsidR="0018298E">
        <w:rPr>
          <w:rFonts w:ascii="Arial" w:hAnsi="Arial" w:cs="Arial"/>
          <w:b/>
          <w:bCs/>
        </w:rPr>
        <w:t>.</w:t>
      </w:r>
    </w:p>
    <w:p w:rsidR="0018298E" w:rsidRDefault="007408F9" w:rsidP="007408F9">
      <w:pPr>
        <w:pStyle w:val="Ttulo1"/>
        <w:jc w:val="both"/>
        <w:rPr>
          <w:b w:val="0"/>
        </w:rPr>
      </w:pPr>
      <w:r w:rsidRPr="007408F9">
        <w:t>1)</w:t>
      </w:r>
      <w:r>
        <w:t xml:space="preserve">  </w:t>
      </w:r>
      <w:r w:rsidR="0018298E" w:rsidRPr="0018298E">
        <w:rPr>
          <w:b w:val="0"/>
        </w:rPr>
        <w:t>No formular observaciones;</w:t>
      </w:r>
    </w:p>
    <w:p w:rsidR="000F0635" w:rsidRDefault="007408F9" w:rsidP="000F0635">
      <w:pPr>
        <w:spacing w:line="360" w:lineRule="auto"/>
        <w:ind w:left="284" w:hanging="284"/>
        <w:jc w:val="both"/>
        <w:rPr>
          <w:rFonts w:ascii="Arial" w:hAnsi="Arial" w:cs="Arial"/>
          <w:sz w:val="24"/>
          <w:szCs w:val="24"/>
        </w:rPr>
      </w:pPr>
      <w:r w:rsidRPr="007408F9">
        <w:rPr>
          <w:rFonts w:ascii="Arial" w:hAnsi="Arial" w:cs="Arial"/>
          <w:b/>
          <w:sz w:val="24"/>
          <w:szCs w:val="24"/>
          <w:lang w:val="es-ES_tradnl"/>
        </w:rPr>
        <w:t>2)</w:t>
      </w:r>
      <w:r>
        <w:rPr>
          <w:b/>
        </w:rPr>
        <w:t xml:space="preserve"> </w:t>
      </w:r>
      <w:r w:rsidR="003E0DAB" w:rsidRPr="007408F9">
        <w:rPr>
          <w:rFonts w:ascii="Arial" w:hAnsi="Arial" w:cs="Arial"/>
          <w:sz w:val="24"/>
          <w:szCs w:val="24"/>
        </w:rPr>
        <w:t xml:space="preserve">Cometer al Contador  Auditor </w:t>
      </w:r>
      <w:r w:rsidR="000F0635">
        <w:rPr>
          <w:rFonts w:ascii="Arial" w:hAnsi="Arial" w:cs="Arial"/>
          <w:sz w:val="24"/>
          <w:szCs w:val="24"/>
        </w:rPr>
        <w:t>destacado ante</w:t>
      </w:r>
      <w:r w:rsidR="003E0DAB" w:rsidRPr="007408F9">
        <w:rPr>
          <w:rFonts w:ascii="Arial" w:hAnsi="Arial" w:cs="Arial"/>
          <w:sz w:val="24"/>
          <w:szCs w:val="24"/>
        </w:rPr>
        <w:t xml:space="preserve"> el Organismo que, c</w:t>
      </w:r>
      <w:r w:rsidR="0018298E" w:rsidRPr="007408F9">
        <w:rPr>
          <w:rFonts w:ascii="Arial" w:hAnsi="Arial" w:cs="Arial"/>
          <w:sz w:val="24"/>
          <w:szCs w:val="24"/>
        </w:rPr>
        <w:t xml:space="preserve">uando el Ordenador </w:t>
      </w:r>
      <w:r w:rsidR="000F0635">
        <w:rPr>
          <w:rFonts w:ascii="Arial" w:hAnsi="Arial" w:cs="Arial"/>
          <w:sz w:val="24"/>
          <w:szCs w:val="24"/>
        </w:rPr>
        <w:t>c</w:t>
      </w:r>
      <w:r w:rsidR="0018298E" w:rsidRPr="007408F9">
        <w:rPr>
          <w:rFonts w:ascii="Arial" w:hAnsi="Arial" w:cs="Arial"/>
          <w:sz w:val="24"/>
          <w:szCs w:val="24"/>
        </w:rPr>
        <w:t xml:space="preserve">ompetente </w:t>
      </w:r>
      <w:r w:rsidR="000F0635">
        <w:rPr>
          <w:rFonts w:ascii="Arial" w:hAnsi="Arial" w:cs="Arial"/>
          <w:sz w:val="24"/>
          <w:szCs w:val="24"/>
        </w:rPr>
        <w:t xml:space="preserve">lo </w:t>
      </w:r>
      <w:r w:rsidR="0018298E" w:rsidRPr="007408F9">
        <w:rPr>
          <w:rFonts w:ascii="Arial" w:hAnsi="Arial" w:cs="Arial"/>
          <w:sz w:val="24"/>
          <w:szCs w:val="24"/>
        </w:rPr>
        <w:t>disponga</w:t>
      </w:r>
      <w:r w:rsidR="000F0635">
        <w:rPr>
          <w:rFonts w:ascii="Arial" w:hAnsi="Arial" w:cs="Arial"/>
          <w:sz w:val="24"/>
          <w:szCs w:val="24"/>
        </w:rPr>
        <w:t>,</w:t>
      </w:r>
      <w:r w:rsidR="00DA1F5C" w:rsidRPr="007408F9">
        <w:rPr>
          <w:rFonts w:ascii="Arial" w:hAnsi="Arial" w:cs="Arial"/>
          <w:sz w:val="24"/>
          <w:szCs w:val="24"/>
        </w:rPr>
        <w:t xml:space="preserve"> </w:t>
      </w:r>
      <w:r w:rsidR="0018298E" w:rsidRPr="007408F9">
        <w:rPr>
          <w:rFonts w:ascii="Arial" w:hAnsi="Arial" w:cs="Arial"/>
          <w:sz w:val="24"/>
          <w:szCs w:val="24"/>
        </w:rPr>
        <w:t>interven</w:t>
      </w:r>
      <w:r w:rsidR="003E0DAB" w:rsidRPr="007408F9">
        <w:rPr>
          <w:rFonts w:ascii="Arial" w:hAnsi="Arial" w:cs="Arial"/>
          <w:sz w:val="24"/>
          <w:szCs w:val="24"/>
        </w:rPr>
        <w:t xml:space="preserve">ga </w:t>
      </w:r>
      <w:r w:rsidR="0018298E" w:rsidRPr="007408F9">
        <w:rPr>
          <w:rFonts w:ascii="Arial" w:hAnsi="Arial" w:cs="Arial"/>
          <w:sz w:val="24"/>
          <w:szCs w:val="24"/>
        </w:rPr>
        <w:t xml:space="preserve">el gasto de $ </w:t>
      </w:r>
      <w:r w:rsidR="000F0635">
        <w:rPr>
          <w:rFonts w:ascii="Arial" w:hAnsi="Arial" w:cs="Arial"/>
          <w:sz w:val="24"/>
          <w:szCs w:val="24"/>
        </w:rPr>
        <w:t>7:</w:t>
      </w:r>
      <w:r w:rsidR="0018298E" w:rsidRPr="007408F9">
        <w:rPr>
          <w:rFonts w:ascii="Arial" w:hAnsi="Arial" w:cs="Arial"/>
          <w:sz w:val="24"/>
          <w:szCs w:val="24"/>
        </w:rPr>
        <w:t>950.600</w:t>
      </w:r>
      <w:r w:rsidR="003E0DAB" w:rsidRPr="007408F9">
        <w:rPr>
          <w:rFonts w:ascii="Arial" w:hAnsi="Arial" w:cs="Arial"/>
          <w:sz w:val="24"/>
          <w:szCs w:val="24"/>
        </w:rPr>
        <w:t>,</w:t>
      </w:r>
      <w:r w:rsidR="0018298E" w:rsidRPr="007408F9">
        <w:rPr>
          <w:rFonts w:ascii="Arial" w:hAnsi="Arial" w:cs="Arial"/>
          <w:sz w:val="24"/>
          <w:szCs w:val="24"/>
        </w:rPr>
        <w:t xml:space="preserve"> IVA incluido, derivado de la </w:t>
      </w:r>
      <w:r w:rsidR="003E0DAB" w:rsidRPr="007408F9">
        <w:rPr>
          <w:rFonts w:ascii="Arial" w:hAnsi="Arial" w:cs="Arial"/>
          <w:sz w:val="24"/>
          <w:szCs w:val="24"/>
        </w:rPr>
        <w:t>ampliación de la</w:t>
      </w:r>
      <w:r w:rsidR="0018298E" w:rsidRPr="007408F9">
        <w:rPr>
          <w:rFonts w:ascii="Arial" w:hAnsi="Arial" w:cs="Arial"/>
          <w:sz w:val="24"/>
          <w:szCs w:val="24"/>
        </w:rPr>
        <w:t xml:space="preserve"> Licitación Pública número 2/2010 convocada para la</w:t>
      </w:r>
      <w:r w:rsidR="003B571E" w:rsidRPr="007408F9">
        <w:rPr>
          <w:rFonts w:ascii="Arial" w:hAnsi="Arial" w:cs="Arial"/>
          <w:sz w:val="24"/>
          <w:szCs w:val="24"/>
        </w:rPr>
        <w:t xml:space="preserve"> contratación de una Consultoría en administración, soporte, operación y configuración de los diferentes sistemas de computación y comunicación</w:t>
      </w:r>
      <w:r w:rsidR="0018298E" w:rsidRPr="007408F9">
        <w:rPr>
          <w:rFonts w:ascii="Arial" w:hAnsi="Arial" w:cs="Arial"/>
          <w:sz w:val="24"/>
          <w:szCs w:val="24"/>
        </w:rPr>
        <w:t xml:space="preserve"> una vez imputada dicha suma en el grupo pertinente con crédito disponible</w:t>
      </w:r>
      <w:r w:rsidR="000F0635">
        <w:rPr>
          <w:rFonts w:ascii="Arial" w:hAnsi="Arial" w:cs="Arial"/>
          <w:sz w:val="24"/>
          <w:szCs w:val="24"/>
        </w:rPr>
        <w:t>;</w:t>
      </w:r>
    </w:p>
    <w:p w:rsidR="0018298E" w:rsidRPr="000F0635" w:rsidRDefault="000F0635" w:rsidP="000F0635">
      <w:pPr>
        <w:spacing w:line="360" w:lineRule="auto"/>
        <w:ind w:left="284" w:hanging="284"/>
        <w:jc w:val="both"/>
        <w:rPr>
          <w:rFonts w:ascii="Arial" w:hAnsi="Arial" w:cs="Arial"/>
          <w:sz w:val="24"/>
          <w:szCs w:val="24"/>
        </w:rPr>
      </w:pPr>
      <w:r w:rsidRPr="000F0635">
        <w:rPr>
          <w:rFonts w:ascii="Arial" w:hAnsi="Arial" w:cs="Arial"/>
          <w:b/>
          <w:sz w:val="24"/>
          <w:szCs w:val="24"/>
        </w:rPr>
        <w:t xml:space="preserve">3) </w:t>
      </w:r>
      <w:r w:rsidR="0018298E" w:rsidRPr="000F0635">
        <w:rPr>
          <w:rFonts w:ascii="Arial" w:hAnsi="Arial" w:cs="Arial"/>
          <w:sz w:val="24"/>
          <w:szCs w:val="24"/>
        </w:rPr>
        <w:t>Com</w:t>
      </w:r>
      <w:r w:rsidR="003E0DAB" w:rsidRPr="000F0635">
        <w:rPr>
          <w:rFonts w:ascii="Arial" w:hAnsi="Arial" w:cs="Arial"/>
          <w:sz w:val="24"/>
          <w:szCs w:val="24"/>
        </w:rPr>
        <w:t>eter</w:t>
      </w:r>
      <w:r w:rsidR="0018298E" w:rsidRPr="000F0635">
        <w:rPr>
          <w:rFonts w:ascii="Arial" w:hAnsi="Arial" w:cs="Arial"/>
          <w:sz w:val="24"/>
          <w:szCs w:val="24"/>
        </w:rPr>
        <w:t xml:space="preserve"> asimismo a</w:t>
      </w:r>
      <w:r w:rsidR="006B5772">
        <w:rPr>
          <w:rFonts w:ascii="Arial" w:hAnsi="Arial" w:cs="Arial"/>
          <w:sz w:val="24"/>
          <w:szCs w:val="24"/>
        </w:rPr>
        <w:t xml:space="preserve"> </w:t>
      </w:r>
      <w:r w:rsidR="0018298E" w:rsidRPr="000F0635">
        <w:rPr>
          <w:rFonts w:ascii="Arial" w:hAnsi="Arial" w:cs="Arial"/>
          <w:sz w:val="24"/>
          <w:szCs w:val="24"/>
        </w:rPr>
        <w:t>l</w:t>
      </w:r>
      <w:r w:rsidR="006B5772">
        <w:rPr>
          <w:rFonts w:ascii="Arial" w:hAnsi="Arial" w:cs="Arial"/>
          <w:sz w:val="24"/>
          <w:szCs w:val="24"/>
        </w:rPr>
        <w:t>a</w:t>
      </w:r>
      <w:r w:rsidR="0018298E" w:rsidRPr="000F0635">
        <w:rPr>
          <w:rFonts w:ascii="Arial" w:hAnsi="Arial" w:cs="Arial"/>
          <w:sz w:val="24"/>
          <w:szCs w:val="24"/>
        </w:rPr>
        <w:t xml:space="preserve"> Contador</w:t>
      </w:r>
      <w:r w:rsidR="006B5772">
        <w:rPr>
          <w:rFonts w:ascii="Arial" w:hAnsi="Arial" w:cs="Arial"/>
          <w:sz w:val="24"/>
          <w:szCs w:val="24"/>
        </w:rPr>
        <w:t>a</w:t>
      </w:r>
      <w:r w:rsidR="0018298E" w:rsidRPr="000F0635">
        <w:rPr>
          <w:rFonts w:ascii="Arial" w:hAnsi="Arial" w:cs="Arial"/>
          <w:sz w:val="24"/>
          <w:szCs w:val="24"/>
        </w:rPr>
        <w:t xml:space="preserve"> </w:t>
      </w:r>
      <w:r w:rsidR="00296A5B" w:rsidRPr="000F0635">
        <w:rPr>
          <w:rFonts w:ascii="Arial" w:hAnsi="Arial" w:cs="Arial"/>
          <w:sz w:val="24"/>
          <w:szCs w:val="24"/>
        </w:rPr>
        <w:t>Auditor</w:t>
      </w:r>
      <w:r w:rsidR="006B5772">
        <w:rPr>
          <w:rFonts w:ascii="Arial" w:hAnsi="Arial" w:cs="Arial"/>
          <w:sz w:val="24"/>
          <w:szCs w:val="24"/>
        </w:rPr>
        <w:t>a</w:t>
      </w:r>
      <w:r w:rsidR="0018298E" w:rsidRPr="000F0635">
        <w:rPr>
          <w:rFonts w:ascii="Arial" w:hAnsi="Arial" w:cs="Arial"/>
          <w:sz w:val="24"/>
          <w:szCs w:val="24"/>
        </w:rPr>
        <w:t xml:space="preserve"> la verificación que la Resolución Definitiva concuerde con las condiciones de la contratación</w:t>
      </w:r>
      <w:r>
        <w:rPr>
          <w:rFonts w:ascii="Arial" w:hAnsi="Arial" w:cs="Arial"/>
          <w:sz w:val="24"/>
          <w:szCs w:val="24"/>
        </w:rPr>
        <w:t xml:space="preserve"> sometidas a este Tribunal (Artículo</w:t>
      </w:r>
      <w:r w:rsidR="0018298E" w:rsidRPr="000F0635">
        <w:rPr>
          <w:rFonts w:ascii="Arial" w:hAnsi="Arial" w:cs="Arial"/>
          <w:sz w:val="24"/>
          <w:szCs w:val="24"/>
        </w:rPr>
        <w:t xml:space="preserve"> 8 de la Ordenanza N° 27 de fecha 22/5/58 en la redacción sustitutiva dispuesta por </w:t>
      </w:r>
      <w:r w:rsidR="003E0DAB" w:rsidRPr="000F0635">
        <w:rPr>
          <w:rFonts w:ascii="Arial" w:hAnsi="Arial" w:cs="Arial"/>
          <w:sz w:val="24"/>
          <w:szCs w:val="24"/>
        </w:rPr>
        <w:t xml:space="preserve">Resolución </w:t>
      </w:r>
      <w:r w:rsidR="0018298E" w:rsidRPr="000F0635">
        <w:rPr>
          <w:rFonts w:ascii="Arial" w:hAnsi="Arial" w:cs="Arial"/>
          <w:sz w:val="24"/>
          <w:szCs w:val="24"/>
        </w:rPr>
        <w:t>del 16/6/2010).</w:t>
      </w:r>
    </w:p>
    <w:p w:rsidR="0018298E" w:rsidRPr="003E0DAB" w:rsidRDefault="000F0635" w:rsidP="000F0635">
      <w:pPr>
        <w:spacing w:line="360" w:lineRule="auto"/>
        <w:rPr>
          <w:rFonts w:ascii="Arial" w:hAnsi="Arial" w:cs="Arial"/>
          <w:bCs/>
        </w:rPr>
      </w:pPr>
      <w:r w:rsidRPr="000F0635">
        <w:rPr>
          <w:rFonts w:ascii="Arial" w:hAnsi="Arial" w:cs="Arial"/>
          <w:b/>
          <w:sz w:val="24"/>
          <w:szCs w:val="24"/>
          <w:lang w:val="es-ES_tradnl"/>
        </w:rPr>
        <w:lastRenderedPageBreak/>
        <w:t>4)</w:t>
      </w:r>
      <w:r>
        <w:rPr>
          <w:rFonts w:ascii="Arial" w:hAnsi="Arial" w:cs="Arial"/>
          <w:sz w:val="24"/>
          <w:szCs w:val="24"/>
          <w:lang w:val="es-ES_tradnl"/>
        </w:rPr>
        <w:t xml:space="preserve"> </w:t>
      </w:r>
      <w:r w:rsidR="0018298E" w:rsidRPr="00296A5B">
        <w:rPr>
          <w:rFonts w:ascii="Arial" w:hAnsi="Arial" w:cs="Arial"/>
          <w:sz w:val="24"/>
          <w:szCs w:val="24"/>
          <w:lang w:val="es-ES_tradnl"/>
        </w:rPr>
        <w:t>Comun</w:t>
      </w:r>
      <w:r w:rsidR="003E0DAB">
        <w:rPr>
          <w:rFonts w:ascii="Arial" w:hAnsi="Arial" w:cs="Arial"/>
          <w:sz w:val="24"/>
          <w:szCs w:val="24"/>
          <w:lang w:val="es-ES_tradnl"/>
        </w:rPr>
        <w:t xml:space="preserve">icar </w:t>
      </w:r>
      <w:r w:rsidR="0018298E" w:rsidRPr="00296A5B">
        <w:rPr>
          <w:rFonts w:ascii="Arial" w:hAnsi="Arial" w:cs="Arial"/>
          <w:sz w:val="24"/>
          <w:szCs w:val="24"/>
          <w:lang w:val="es-ES_tradnl"/>
        </w:rPr>
        <w:t>a</w:t>
      </w:r>
      <w:r w:rsidR="006B5772">
        <w:rPr>
          <w:rFonts w:ascii="Arial" w:hAnsi="Arial" w:cs="Arial"/>
          <w:sz w:val="24"/>
          <w:szCs w:val="24"/>
          <w:lang w:val="es-ES_tradnl"/>
        </w:rPr>
        <w:t xml:space="preserve"> </w:t>
      </w:r>
      <w:r w:rsidR="0018298E" w:rsidRPr="00296A5B">
        <w:rPr>
          <w:rFonts w:ascii="Arial" w:hAnsi="Arial" w:cs="Arial"/>
          <w:sz w:val="24"/>
          <w:szCs w:val="24"/>
          <w:lang w:val="es-ES_tradnl"/>
        </w:rPr>
        <w:t>l</w:t>
      </w:r>
      <w:r w:rsidR="006B5772">
        <w:rPr>
          <w:rFonts w:ascii="Arial" w:hAnsi="Arial" w:cs="Arial"/>
          <w:sz w:val="24"/>
          <w:szCs w:val="24"/>
          <w:lang w:val="es-ES_tradnl"/>
        </w:rPr>
        <w:t>a</w:t>
      </w:r>
      <w:r w:rsidR="0018298E" w:rsidRPr="00296A5B">
        <w:rPr>
          <w:rFonts w:ascii="Arial" w:hAnsi="Arial" w:cs="Arial"/>
          <w:sz w:val="24"/>
          <w:szCs w:val="24"/>
          <w:lang w:val="es-ES_tradnl"/>
        </w:rPr>
        <w:t xml:space="preserve"> Contador</w:t>
      </w:r>
      <w:r w:rsidR="006B5772">
        <w:rPr>
          <w:rFonts w:ascii="Arial" w:hAnsi="Arial" w:cs="Arial"/>
          <w:sz w:val="24"/>
          <w:szCs w:val="24"/>
          <w:lang w:val="es-ES_tradnl"/>
        </w:rPr>
        <w:t>a</w:t>
      </w:r>
      <w:r w:rsidR="0018298E" w:rsidRPr="00296A5B">
        <w:rPr>
          <w:rFonts w:ascii="Arial" w:hAnsi="Arial" w:cs="Arial"/>
          <w:sz w:val="24"/>
          <w:szCs w:val="24"/>
          <w:lang w:val="es-ES_tradnl"/>
        </w:rPr>
        <w:t xml:space="preserve"> </w:t>
      </w:r>
      <w:r>
        <w:rPr>
          <w:rFonts w:ascii="Arial" w:hAnsi="Arial" w:cs="Arial"/>
          <w:sz w:val="24"/>
          <w:szCs w:val="24"/>
          <w:lang w:val="es-ES_tradnl"/>
        </w:rPr>
        <w:t>Auditor</w:t>
      </w:r>
      <w:r w:rsidR="006B5772">
        <w:rPr>
          <w:rFonts w:ascii="Arial" w:hAnsi="Arial" w:cs="Arial"/>
          <w:sz w:val="24"/>
          <w:szCs w:val="24"/>
          <w:lang w:val="es-ES_tradnl"/>
        </w:rPr>
        <w:t>a</w:t>
      </w:r>
      <w:r>
        <w:rPr>
          <w:rFonts w:ascii="Arial" w:hAnsi="Arial" w:cs="Arial"/>
          <w:sz w:val="24"/>
          <w:szCs w:val="24"/>
          <w:lang w:val="es-ES_tradnl"/>
        </w:rPr>
        <w:t>; y</w:t>
      </w:r>
    </w:p>
    <w:p w:rsidR="003E0DAB" w:rsidRPr="00296A5B" w:rsidRDefault="000F0635" w:rsidP="000F0635">
      <w:pPr>
        <w:spacing w:line="360" w:lineRule="auto"/>
        <w:rPr>
          <w:rFonts w:ascii="Arial" w:hAnsi="Arial" w:cs="Arial"/>
          <w:bCs/>
        </w:rPr>
      </w:pPr>
      <w:r w:rsidRPr="000F0635">
        <w:rPr>
          <w:rFonts w:ascii="Arial" w:hAnsi="Arial" w:cs="Arial"/>
          <w:b/>
          <w:sz w:val="24"/>
          <w:szCs w:val="24"/>
          <w:lang w:val="es-ES_tradnl"/>
        </w:rPr>
        <w:t>5)</w:t>
      </w:r>
      <w:r>
        <w:rPr>
          <w:rFonts w:ascii="Arial" w:hAnsi="Arial" w:cs="Arial"/>
          <w:sz w:val="24"/>
          <w:szCs w:val="24"/>
          <w:lang w:val="es-ES_tradnl"/>
        </w:rPr>
        <w:t xml:space="preserve"> </w:t>
      </w:r>
      <w:r w:rsidR="003E0DAB">
        <w:rPr>
          <w:rFonts w:ascii="Arial" w:hAnsi="Arial" w:cs="Arial"/>
          <w:sz w:val="24"/>
          <w:szCs w:val="24"/>
          <w:lang w:val="es-ES_tradnl"/>
        </w:rPr>
        <w:t>Devolver los antecedentes.</w:t>
      </w:r>
    </w:p>
    <w:p w:rsidR="0018298E" w:rsidRDefault="0018298E" w:rsidP="003E0DAB">
      <w:pPr>
        <w:pStyle w:val="Textoindependiente"/>
        <w:spacing w:line="360" w:lineRule="auto"/>
        <w:ind w:firstLine="720"/>
        <w:jc w:val="center"/>
        <w:rPr>
          <w:rFonts w:ascii="Arial" w:hAnsi="Arial" w:cs="Arial"/>
          <w:b/>
          <w:bCs/>
        </w:rPr>
      </w:pPr>
    </w:p>
    <w:p w:rsidR="000F0635" w:rsidRDefault="000F0635" w:rsidP="003E0DAB">
      <w:pPr>
        <w:pStyle w:val="Textoindependiente"/>
        <w:spacing w:line="360" w:lineRule="auto"/>
        <w:ind w:firstLine="720"/>
        <w:jc w:val="center"/>
        <w:rPr>
          <w:rFonts w:ascii="Arial" w:hAnsi="Arial" w:cs="Arial"/>
          <w:b/>
          <w:bCs/>
        </w:rPr>
      </w:pPr>
    </w:p>
    <w:p w:rsidR="000F0635" w:rsidRDefault="000F0635" w:rsidP="003E0DAB">
      <w:pPr>
        <w:pStyle w:val="Textoindependiente"/>
        <w:spacing w:line="360" w:lineRule="auto"/>
        <w:ind w:firstLine="720"/>
        <w:jc w:val="center"/>
        <w:rPr>
          <w:rFonts w:ascii="Arial" w:hAnsi="Arial" w:cs="Arial"/>
          <w:b/>
          <w:bCs/>
        </w:rPr>
      </w:pPr>
    </w:p>
    <w:p w:rsidR="000F0635" w:rsidRDefault="000F0635" w:rsidP="003E0DAB">
      <w:pPr>
        <w:pStyle w:val="Textoindependiente"/>
        <w:spacing w:line="360" w:lineRule="auto"/>
        <w:ind w:firstLine="720"/>
        <w:jc w:val="center"/>
        <w:rPr>
          <w:rFonts w:ascii="Arial" w:hAnsi="Arial" w:cs="Arial"/>
          <w:b/>
          <w:bCs/>
        </w:rPr>
      </w:pPr>
    </w:p>
    <w:p w:rsidR="000F0635" w:rsidRPr="000F0635" w:rsidRDefault="000F0635" w:rsidP="000F0635">
      <w:pPr>
        <w:pStyle w:val="Textoindependiente"/>
        <w:spacing w:line="360" w:lineRule="auto"/>
        <w:jc w:val="left"/>
        <w:rPr>
          <w:rFonts w:ascii="Arial" w:hAnsi="Arial" w:cs="Arial"/>
          <w:bCs/>
        </w:rPr>
      </w:pPr>
      <w:proofErr w:type="spellStart"/>
      <w:proofErr w:type="gramStart"/>
      <w:r>
        <w:rPr>
          <w:rFonts w:ascii="Arial" w:hAnsi="Arial" w:cs="Arial"/>
          <w:bCs/>
        </w:rPr>
        <w:t>cr</w:t>
      </w:r>
      <w:proofErr w:type="spellEnd"/>
      <w:proofErr w:type="gramEnd"/>
    </w:p>
    <w:sectPr w:rsidR="000F0635" w:rsidRPr="000F0635" w:rsidSect="000F063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3402" w:right="1701" w:bottom="1418" w:left="1701"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A3" w:rsidRDefault="00D95CA3">
      <w:pPr>
        <w:spacing w:line="20" w:lineRule="exact"/>
        <w:rPr>
          <w:sz w:val="24"/>
        </w:rPr>
      </w:pPr>
    </w:p>
  </w:endnote>
  <w:endnote w:type="continuationSeparator" w:id="0">
    <w:p w:rsidR="00D95CA3" w:rsidRDefault="00D95CA3">
      <w:r>
        <w:rPr>
          <w:sz w:val="24"/>
        </w:rPr>
        <w:t xml:space="preserve"> </w:t>
      </w:r>
    </w:p>
  </w:endnote>
  <w:endnote w:type="continuationNotice" w:id="1">
    <w:p w:rsidR="00D95CA3" w:rsidRDefault="00D95CA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spacing w:before="140" w:line="100" w:lineRule="exact"/>
      <w:rPr>
        <w:sz w:val="10"/>
      </w:rPr>
    </w:pPr>
  </w:p>
  <w:p w:rsidR="00FD6973" w:rsidRDefault="00FD6973">
    <w:pPr>
      <w:tabs>
        <w:tab w:val="left" w:pos="-720"/>
      </w:tabs>
      <w:suppressAutoHyphens/>
      <w:jc w:val="both"/>
      <w:rPr>
        <w:spacing w:val="-3"/>
        <w:sz w:val="24"/>
      </w:rPr>
    </w:pPr>
  </w:p>
  <w:p w:rsidR="00FD6973" w:rsidRDefault="000F0635">
    <w:pPr>
      <w:tabs>
        <w:tab w:val="left" w:pos="-720"/>
      </w:tabs>
      <w:suppressAutoHyphens/>
      <w:rPr>
        <w:sz w:val="24"/>
      </w:rPr>
    </w:pPr>
    <w:r>
      <w:rPr>
        <w:noProof/>
        <w:snapToGrid/>
        <w:lang w:val="es-UY" w:eastAsia="es-UY"/>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648325"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D6973" w:rsidRDefault="00FD6973">
                          <w:pPr>
                            <w:tabs>
                              <w:tab w:val="center" w:pos="4446"/>
                            </w:tabs>
                            <w:suppressAutoHyphens/>
                            <w:jc w:val="both"/>
                            <w:rPr>
                              <w:sz w:val="24"/>
                              <w:lang w:val="es-ES_tradnl"/>
                            </w:rPr>
                          </w:pPr>
                          <w:r>
                            <w:rPr>
                              <w:sz w:val="24"/>
                            </w:rPr>
                            <w:tab/>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44.7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" o:allowincell="f" filled="f" stroked="f" strokeweight="0">
              <v:textbox inset="0,0,0,0">
                <w:txbxContent>
                  <w:p w:rsidR="00FD6973" w:rsidRDefault="00FD6973">
                    <w:pPr>
                      <w:tabs>
                        <w:tab w:val="center" w:pos="4446"/>
                      </w:tabs>
                      <w:suppressAutoHyphens/>
                      <w:jc w:val="both"/>
                      <w:rPr>
                        <w:sz w:val="24"/>
                        <w:lang w:val="es-ES_tradnl"/>
                      </w:rPr>
                    </w:pPr>
                    <w:r>
                      <w:rPr>
                        <w:sz w:val="24"/>
                      </w:rPr>
                      <w:tab/>
                      <w:t>1</w:t>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A3" w:rsidRDefault="00D95CA3">
      <w:r>
        <w:rPr>
          <w:sz w:val="24"/>
        </w:rPr>
        <w:separator/>
      </w:r>
    </w:p>
  </w:footnote>
  <w:footnote w:type="continuationSeparator" w:id="0">
    <w:p w:rsidR="00D95CA3" w:rsidRDefault="00D9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73" w:rsidRDefault="00FD69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7F"/>
    <w:multiLevelType w:val="hybridMultilevel"/>
    <w:tmpl w:val="A74C8A2E"/>
    <w:lvl w:ilvl="0" w:tplc="B16AB57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AC11FB0"/>
    <w:multiLevelType w:val="hybridMultilevel"/>
    <w:tmpl w:val="475ACF04"/>
    <w:lvl w:ilvl="0" w:tplc="A42E1274">
      <w:start w:val="1"/>
      <w:numFmt w:val="decimal"/>
      <w:lvlText w:val="%1)"/>
      <w:lvlJc w:val="left"/>
      <w:pPr>
        <w:tabs>
          <w:tab w:val="num" w:pos="1095"/>
        </w:tabs>
        <w:ind w:left="1095" w:hanging="37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4DCE3073"/>
    <w:multiLevelType w:val="hybridMultilevel"/>
    <w:tmpl w:val="7D20913E"/>
    <w:lvl w:ilvl="0" w:tplc="428ECABE">
      <w:start w:val="1"/>
      <w:numFmt w:val="decimal"/>
      <w:lvlText w:val="%1)"/>
      <w:lvlJc w:val="left"/>
      <w:pPr>
        <w:ind w:left="420" w:hanging="360"/>
      </w:pPr>
      <w:rPr>
        <w:rFonts w:hint="default"/>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4">
    <w:nsid w:val="60990721"/>
    <w:multiLevelType w:val="hybridMultilevel"/>
    <w:tmpl w:val="05E2165E"/>
    <w:lvl w:ilvl="0" w:tplc="90AEE8F0">
      <w:start w:val="1"/>
      <w:numFmt w:val="decimal"/>
      <w:lvlText w:val="%1)"/>
      <w:lvlJc w:val="left"/>
      <w:pPr>
        <w:tabs>
          <w:tab w:val="num" w:pos="1770"/>
        </w:tabs>
        <w:ind w:left="1770" w:hanging="675"/>
      </w:pPr>
      <w:rPr>
        <w:rFonts w:hint="default"/>
      </w:rPr>
    </w:lvl>
    <w:lvl w:ilvl="1" w:tplc="0C0A0019" w:tentative="1">
      <w:start w:val="1"/>
      <w:numFmt w:val="lowerLetter"/>
      <w:lvlText w:val="%2."/>
      <w:lvlJc w:val="left"/>
      <w:pPr>
        <w:tabs>
          <w:tab w:val="num" w:pos="2175"/>
        </w:tabs>
        <w:ind w:left="2175" w:hanging="360"/>
      </w:pPr>
    </w:lvl>
    <w:lvl w:ilvl="2" w:tplc="0C0A001B" w:tentative="1">
      <w:start w:val="1"/>
      <w:numFmt w:val="lowerRoman"/>
      <w:lvlText w:val="%3."/>
      <w:lvlJc w:val="right"/>
      <w:pPr>
        <w:tabs>
          <w:tab w:val="num" w:pos="2895"/>
        </w:tabs>
        <w:ind w:left="2895" w:hanging="180"/>
      </w:pPr>
    </w:lvl>
    <w:lvl w:ilvl="3" w:tplc="0C0A000F" w:tentative="1">
      <w:start w:val="1"/>
      <w:numFmt w:val="decimal"/>
      <w:lvlText w:val="%4."/>
      <w:lvlJc w:val="left"/>
      <w:pPr>
        <w:tabs>
          <w:tab w:val="num" w:pos="3615"/>
        </w:tabs>
        <w:ind w:left="3615" w:hanging="360"/>
      </w:pPr>
    </w:lvl>
    <w:lvl w:ilvl="4" w:tplc="0C0A0019" w:tentative="1">
      <w:start w:val="1"/>
      <w:numFmt w:val="lowerLetter"/>
      <w:lvlText w:val="%5."/>
      <w:lvlJc w:val="left"/>
      <w:pPr>
        <w:tabs>
          <w:tab w:val="num" w:pos="4335"/>
        </w:tabs>
        <w:ind w:left="4335" w:hanging="360"/>
      </w:pPr>
    </w:lvl>
    <w:lvl w:ilvl="5" w:tplc="0C0A001B" w:tentative="1">
      <w:start w:val="1"/>
      <w:numFmt w:val="lowerRoman"/>
      <w:lvlText w:val="%6."/>
      <w:lvlJc w:val="right"/>
      <w:pPr>
        <w:tabs>
          <w:tab w:val="num" w:pos="5055"/>
        </w:tabs>
        <w:ind w:left="5055" w:hanging="180"/>
      </w:pPr>
    </w:lvl>
    <w:lvl w:ilvl="6" w:tplc="0C0A000F" w:tentative="1">
      <w:start w:val="1"/>
      <w:numFmt w:val="decimal"/>
      <w:lvlText w:val="%7."/>
      <w:lvlJc w:val="left"/>
      <w:pPr>
        <w:tabs>
          <w:tab w:val="num" w:pos="5775"/>
        </w:tabs>
        <w:ind w:left="5775" w:hanging="360"/>
      </w:pPr>
    </w:lvl>
    <w:lvl w:ilvl="7" w:tplc="0C0A0019" w:tentative="1">
      <w:start w:val="1"/>
      <w:numFmt w:val="lowerLetter"/>
      <w:lvlText w:val="%8."/>
      <w:lvlJc w:val="left"/>
      <w:pPr>
        <w:tabs>
          <w:tab w:val="num" w:pos="6495"/>
        </w:tabs>
        <w:ind w:left="6495" w:hanging="360"/>
      </w:pPr>
    </w:lvl>
    <w:lvl w:ilvl="8" w:tplc="0C0A001B" w:tentative="1">
      <w:start w:val="1"/>
      <w:numFmt w:val="lowerRoman"/>
      <w:lvlText w:val="%9."/>
      <w:lvlJc w:val="right"/>
      <w:pPr>
        <w:tabs>
          <w:tab w:val="num" w:pos="7215"/>
        </w:tabs>
        <w:ind w:left="7215" w:hanging="180"/>
      </w:pPr>
    </w:lvl>
  </w:abstractNum>
  <w:abstractNum w:abstractNumId="5">
    <w:nsid w:val="71E117D4"/>
    <w:multiLevelType w:val="singleLevel"/>
    <w:tmpl w:val="0C0A0011"/>
    <w:lvl w:ilvl="0">
      <w:start w:val="1"/>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90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42"/>
    <w:rsid w:val="000F0635"/>
    <w:rsid w:val="0018298E"/>
    <w:rsid w:val="001902A5"/>
    <w:rsid w:val="001B19BF"/>
    <w:rsid w:val="00247742"/>
    <w:rsid w:val="00296A5B"/>
    <w:rsid w:val="002B36C8"/>
    <w:rsid w:val="003B571E"/>
    <w:rsid w:val="003E0DAB"/>
    <w:rsid w:val="004F20CC"/>
    <w:rsid w:val="00616B0D"/>
    <w:rsid w:val="006B5772"/>
    <w:rsid w:val="007408F9"/>
    <w:rsid w:val="00780466"/>
    <w:rsid w:val="008B7953"/>
    <w:rsid w:val="008D2F27"/>
    <w:rsid w:val="009C4DD9"/>
    <w:rsid w:val="00B00631"/>
    <w:rsid w:val="00C93465"/>
    <w:rsid w:val="00D95CA3"/>
    <w:rsid w:val="00DA1F5C"/>
    <w:rsid w:val="00FD69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suppressAutoHyphens/>
      <w:spacing w:line="360" w:lineRule="auto"/>
      <w:jc w:val="center"/>
      <w:outlineLvl w:val="0"/>
    </w:pPr>
    <w:rPr>
      <w:rFonts w:ascii="Arial" w:hAnsi="Arial" w:cs="Arial"/>
      <w:b/>
      <w:bCs/>
      <w:spacing w:val="-3"/>
      <w:sz w:val="24"/>
      <w:lang w:val="es-ES_tradnl"/>
    </w:rPr>
  </w:style>
  <w:style w:type="paragraph" w:styleId="Ttulo2">
    <w:name w:val="heading 2"/>
    <w:basedOn w:val="Normal"/>
    <w:next w:val="Normal"/>
    <w:qFormat/>
    <w:pPr>
      <w:keepNext/>
      <w:suppressAutoHyphens/>
      <w:spacing w:line="360" w:lineRule="auto"/>
      <w:jc w:val="both"/>
      <w:outlineLvl w:val="1"/>
    </w:pPr>
    <w:rPr>
      <w:rFonts w:ascii="Arial" w:hAnsi="Arial" w:cs="Arial"/>
      <w:spacing w:val="-3"/>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4"/>
    </w:rPr>
  </w:style>
  <w:style w:type="character" w:styleId="Refdenotaalfinal">
    <w:name w:val="endnote reference"/>
    <w:semiHidden/>
    <w:rPr>
      <w:vertAlign w:val="superscript"/>
    </w:rPr>
  </w:style>
  <w:style w:type="paragraph" w:customStyle="1" w:styleId="Textodenotaalpie">
    <w:name w:val="Texto de nota al pie"/>
    <w:basedOn w:val="Normal"/>
    <w:rPr>
      <w:sz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semiHidden/>
    <w:pPr>
      <w:suppressAutoHyphens/>
      <w:jc w:val="both"/>
    </w:pPr>
    <w:rPr>
      <w:rFonts w:ascii="Bookman Old Style" w:hAnsi="Bookman Old Style"/>
      <w:spacing w:val="-3"/>
      <w:sz w:val="24"/>
      <w:lang w:val="es-ES_tradnl"/>
    </w:rPr>
  </w:style>
  <w:style w:type="paragraph" w:styleId="Sangradetextonormal">
    <w:name w:val="Body Text Indent"/>
    <w:basedOn w:val="Normal"/>
    <w:semiHidden/>
    <w:pPr>
      <w:suppressAutoHyphens/>
      <w:spacing w:line="360" w:lineRule="auto"/>
      <w:ind w:left="720"/>
      <w:jc w:val="both"/>
    </w:pPr>
    <w:rPr>
      <w:rFonts w:ascii="Arial" w:hAnsi="Arial" w:cs="Arial"/>
      <w:spacing w:val="-3"/>
      <w:sz w:val="24"/>
      <w:lang w:val="es-ES_tradnl"/>
    </w:rPr>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rFonts w:ascii="Courier New" w:hAnsi="Courier New"/>
      <w:snapToGrid w:val="0"/>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suppressAutoHyphens/>
      <w:spacing w:line="360" w:lineRule="auto"/>
      <w:jc w:val="center"/>
      <w:outlineLvl w:val="0"/>
    </w:pPr>
    <w:rPr>
      <w:rFonts w:ascii="Arial" w:hAnsi="Arial" w:cs="Arial"/>
      <w:b/>
      <w:bCs/>
      <w:spacing w:val="-3"/>
      <w:sz w:val="24"/>
      <w:lang w:val="es-ES_tradnl"/>
    </w:rPr>
  </w:style>
  <w:style w:type="paragraph" w:styleId="Ttulo2">
    <w:name w:val="heading 2"/>
    <w:basedOn w:val="Normal"/>
    <w:next w:val="Normal"/>
    <w:qFormat/>
    <w:pPr>
      <w:keepNext/>
      <w:suppressAutoHyphens/>
      <w:spacing w:line="360" w:lineRule="auto"/>
      <w:jc w:val="both"/>
      <w:outlineLvl w:val="1"/>
    </w:pPr>
    <w:rPr>
      <w:rFonts w:ascii="Arial" w:hAnsi="Arial" w:cs="Arial"/>
      <w:spacing w:val="-3"/>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Pr>
      <w:sz w:val="24"/>
    </w:rPr>
  </w:style>
  <w:style w:type="character" w:styleId="Refdenotaalfinal">
    <w:name w:val="endnote reference"/>
    <w:semiHidden/>
    <w:rPr>
      <w:vertAlign w:val="superscript"/>
    </w:rPr>
  </w:style>
  <w:style w:type="paragraph" w:customStyle="1" w:styleId="Textodenotaalpie">
    <w:name w:val="Texto de nota al pie"/>
    <w:basedOn w:val="Normal"/>
    <w:rPr>
      <w:sz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Ttulo">
    <w:name w:val="Title"/>
    <w:basedOn w:val="Normal"/>
    <w:qFormat/>
    <w:rPr>
      <w:sz w:val="24"/>
    </w:rPr>
  </w:style>
  <w:style w:type="character" w:customStyle="1" w:styleId="EquationCaption">
    <w:name w:val="_Equation Caption"/>
  </w:style>
  <w:style w:type="paragraph" w:styleId="Textoindependiente">
    <w:name w:val="Body Text"/>
    <w:basedOn w:val="Normal"/>
    <w:semiHidden/>
    <w:pPr>
      <w:suppressAutoHyphens/>
      <w:jc w:val="both"/>
    </w:pPr>
    <w:rPr>
      <w:rFonts w:ascii="Bookman Old Style" w:hAnsi="Bookman Old Style"/>
      <w:spacing w:val="-3"/>
      <w:sz w:val="24"/>
      <w:lang w:val="es-ES_tradnl"/>
    </w:rPr>
  </w:style>
  <w:style w:type="paragraph" w:styleId="Sangradetextonormal">
    <w:name w:val="Body Text Indent"/>
    <w:basedOn w:val="Normal"/>
    <w:semiHidden/>
    <w:pPr>
      <w:suppressAutoHyphens/>
      <w:spacing w:line="360" w:lineRule="auto"/>
      <w:ind w:left="720"/>
      <w:jc w:val="both"/>
    </w:pPr>
    <w:rPr>
      <w:rFonts w:ascii="Arial" w:hAnsi="Arial" w:cs="Arial"/>
      <w:spacing w:val="-3"/>
      <w:sz w:val="24"/>
      <w:lang w:val="es-ES_tradnl"/>
    </w:rPr>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rFonts w:ascii="Courier New" w:hAnsi="Courier New"/>
      <w:snapToGrid w:val="0"/>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Montevideo,</vt:lpstr>
    </vt:vector>
  </TitlesOfParts>
  <Company>TRIBUNAL DE CUENTAS</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dc:title>
  <dc:subject/>
  <dc:creator>MARIZA GONZALEZ PADILLA</dc:creator>
  <cp:keywords/>
  <cp:lastModifiedBy>Miriam Cristina Rivero</cp:lastModifiedBy>
  <cp:revision>2</cp:revision>
  <cp:lastPrinted>2014-01-13T12:24:00Z</cp:lastPrinted>
  <dcterms:created xsi:type="dcterms:W3CDTF">2014-01-13T12:24:00Z</dcterms:created>
  <dcterms:modified xsi:type="dcterms:W3CDTF">2014-01-13T12:24:00Z</dcterms:modified>
</cp:coreProperties>
</file>