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724" w:rsidRDefault="00413724">
      <w:pPr>
        <w:tabs>
          <w:tab w:val="center" w:pos="4253"/>
        </w:tabs>
        <w:suppressAutoHyphens/>
        <w:jc w:val="center"/>
        <w:rPr>
          <w:rFonts w:ascii="Helvetica" w:hAnsi="Helvetica"/>
          <w:b/>
          <w:lang w:val="es-ES_tradnl"/>
        </w:rPr>
      </w:pPr>
      <w:r>
        <w:rPr>
          <w:rFonts w:ascii="Helvetica" w:hAnsi="Helvetica"/>
          <w:b/>
          <w:lang w:val="es-ES_tradnl"/>
        </w:rPr>
        <w:t>RESOLUCION ADOPTADA POR EL</w:t>
      </w:r>
    </w:p>
    <w:p w:rsidR="00413724" w:rsidRDefault="00413724">
      <w:pPr>
        <w:tabs>
          <w:tab w:val="left" w:pos="-720"/>
        </w:tabs>
        <w:suppressAutoHyphens/>
        <w:jc w:val="center"/>
        <w:rPr>
          <w:rFonts w:ascii="Helvetica" w:hAnsi="Helvetica"/>
          <w:b/>
          <w:lang w:val="es-ES_tradnl"/>
        </w:rPr>
      </w:pPr>
    </w:p>
    <w:p w:rsidR="00413724" w:rsidRDefault="00413724">
      <w:pPr>
        <w:tabs>
          <w:tab w:val="center" w:pos="4253"/>
        </w:tabs>
        <w:suppressAutoHyphens/>
        <w:jc w:val="center"/>
        <w:rPr>
          <w:rFonts w:ascii="Helvetica" w:hAnsi="Helvetica"/>
          <w:b/>
          <w:lang w:val="es-ES_tradnl"/>
        </w:rPr>
      </w:pPr>
      <w:r>
        <w:rPr>
          <w:rFonts w:ascii="Helvetica" w:hAnsi="Helvetica"/>
          <w:b/>
          <w:lang w:val="es-ES_tradnl"/>
        </w:rPr>
        <w:t>TRIBUNAL DE CUENTAS</w:t>
      </w:r>
    </w:p>
    <w:p w:rsidR="00413724" w:rsidRDefault="00413724">
      <w:pPr>
        <w:tabs>
          <w:tab w:val="left" w:pos="-720"/>
        </w:tabs>
        <w:suppressAutoHyphens/>
        <w:jc w:val="center"/>
        <w:rPr>
          <w:rFonts w:ascii="Helvetica" w:hAnsi="Helvetica"/>
          <w:b/>
          <w:lang w:val="es-ES_tradnl"/>
        </w:rPr>
      </w:pPr>
    </w:p>
    <w:p w:rsidR="00413724" w:rsidRDefault="00413724">
      <w:pPr>
        <w:tabs>
          <w:tab w:val="center" w:pos="4253"/>
        </w:tabs>
        <w:suppressAutoHyphens/>
        <w:jc w:val="center"/>
        <w:rPr>
          <w:rFonts w:ascii="Helvetica" w:hAnsi="Helvetica"/>
          <w:b/>
          <w:lang w:val="es-ES_tradnl"/>
        </w:rPr>
      </w:pPr>
      <w:r>
        <w:rPr>
          <w:rFonts w:ascii="Helvetica" w:hAnsi="Helvetica"/>
          <w:b/>
          <w:lang w:val="es-ES_tradnl"/>
        </w:rPr>
        <w:t>EN SESION DE FECHA 30 DE DICIEMBRE DE 2013</w:t>
      </w:r>
    </w:p>
    <w:p w:rsidR="00413724" w:rsidRDefault="00413724">
      <w:pPr>
        <w:tabs>
          <w:tab w:val="center" w:pos="4253"/>
        </w:tabs>
        <w:suppressAutoHyphens/>
        <w:jc w:val="center"/>
        <w:rPr>
          <w:rFonts w:ascii="Helvetica" w:hAnsi="Helvetica"/>
          <w:b/>
          <w:lang w:val="es-ES_tradnl"/>
        </w:rPr>
      </w:pPr>
    </w:p>
    <w:p w:rsidR="00413724" w:rsidRPr="00563757" w:rsidRDefault="00413724" w:rsidP="00563757">
      <w:pPr>
        <w:tabs>
          <w:tab w:val="center" w:pos="4253"/>
        </w:tabs>
        <w:suppressAutoHyphens/>
        <w:jc w:val="center"/>
        <w:rPr>
          <w:rFonts w:cs="Arial"/>
          <w:b/>
          <w:lang w:val="es-MX"/>
        </w:rPr>
      </w:pPr>
      <w:r w:rsidRPr="00563757">
        <w:rPr>
          <w:rFonts w:cs="Arial"/>
          <w:b/>
          <w:lang w:val="es-ES_tradnl"/>
        </w:rPr>
        <w:t xml:space="preserve">(E. E. Nº </w:t>
      </w:r>
      <w:r>
        <w:rPr>
          <w:rFonts w:cs="Arial"/>
          <w:b/>
          <w:lang w:val="es-ES_tradnl"/>
        </w:rPr>
        <w:t>2013-17-1-000</w:t>
      </w:r>
      <w:r w:rsidR="00692752">
        <w:rPr>
          <w:rFonts w:cs="Arial"/>
          <w:b/>
          <w:lang w:val="es-ES_tradnl"/>
        </w:rPr>
        <w:t>8341</w:t>
      </w:r>
      <w:r>
        <w:rPr>
          <w:rFonts w:cs="Arial"/>
          <w:b/>
          <w:lang w:val="es-ES_tradnl"/>
        </w:rPr>
        <w:t>,</w:t>
      </w:r>
      <w:r w:rsidRPr="00563757">
        <w:rPr>
          <w:rFonts w:cs="Arial"/>
          <w:b/>
        </w:rPr>
        <w:t xml:space="preserve"> </w:t>
      </w:r>
      <w:r w:rsidRPr="00563757">
        <w:rPr>
          <w:rFonts w:cs="Arial"/>
          <w:b/>
          <w:lang w:val="es-MX"/>
        </w:rPr>
        <w:t>E. N°</w:t>
      </w:r>
      <w:r w:rsidR="00692752">
        <w:rPr>
          <w:rFonts w:cs="Arial"/>
          <w:b/>
          <w:lang w:val="es-MX"/>
        </w:rPr>
        <w:t xml:space="preserve"> 7101/13.</w:t>
      </w:r>
      <w:r w:rsidRPr="00563757">
        <w:rPr>
          <w:rFonts w:cs="Arial"/>
          <w:b/>
          <w:lang w:val="es-MX"/>
        </w:rPr>
        <w:t>)</w:t>
      </w:r>
    </w:p>
    <w:p w:rsidR="00413724" w:rsidRDefault="00413724"/>
    <w:p w:rsidR="002F79DE" w:rsidRDefault="002F79DE" w:rsidP="007A6EA7">
      <w:pPr>
        <w:widowControl w:val="0"/>
        <w:tabs>
          <w:tab w:val="left" w:pos="-720"/>
        </w:tabs>
        <w:suppressAutoHyphens/>
        <w:snapToGrid w:val="0"/>
        <w:spacing w:line="360" w:lineRule="auto"/>
        <w:jc w:val="center"/>
        <w:rPr>
          <w:rFonts w:cs="Arial"/>
          <w:b/>
          <w:spacing w:val="-3"/>
          <w:lang w:val="es-ES_tradnl"/>
        </w:rPr>
      </w:pPr>
    </w:p>
    <w:p w:rsidR="00D62CA1" w:rsidRDefault="00D62CA1" w:rsidP="002F79DE">
      <w:pPr>
        <w:spacing w:line="360" w:lineRule="auto"/>
        <w:ind w:firstLine="708"/>
        <w:jc w:val="both"/>
      </w:pPr>
      <w:r>
        <w:rPr>
          <w:rFonts w:cs="Arial"/>
          <w:b/>
          <w:bCs/>
        </w:rPr>
        <w:t>VISTO:</w:t>
      </w:r>
      <w:r>
        <w:rPr>
          <w:rFonts w:cs="Arial"/>
        </w:rPr>
        <w:t xml:space="preserve"> las actuaciones remitidas por </w:t>
      </w:r>
      <w:r>
        <w:t xml:space="preserve">la Contadora Delegada </w:t>
      </w:r>
      <w:r w:rsidR="00D62190">
        <w:t>en</w:t>
      </w:r>
      <w:r>
        <w:t xml:space="preserve"> la Administración de los Servicios de Salud del Estado (ASSE)</w:t>
      </w:r>
      <w:r w:rsidR="00C823C8">
        <w:t>,</w:t>
      </w:r>
      <w:r>
        <w:t xml:space="preserve"> relacionadas con la Licitación Abreviada Nº 3/2014 para el suministro de artículos de limpieza con destino al Centro Regional de Maldonado, por un período de doce meses a partir del 1º de enero de 2014;</w:t>
      </w:r>
    </w:p>
    <w:p w:rsidR="00D62CA1" w:rsidRDefault="00D62CA1" w:rsidP="002F79DE">
      <w:pPr>
        <w:pStyle w:val="Textoindependiente"/>
        <w:ind w:firstLine="708"/>
        <w:rPr>
          <w:rFonts w:cs="Arial"/>
        </w:rPr>
      </w:pPr>
      <w:r>
        <w:rPr>
          <w:rFonts w:cs="Arial"/>
          <w:b/>
          <w:bCs/>
        </w:rPr>
        <w:t>RESULTANDO: 1)</w:t>
      </w:r>
      <w:r>
        <w:rPr>
          <w:rFonts w:cs="Arial"/>
        </w:rPr>
        <w:t xml:space="preserve"> que según acta  de la Comisión Asesora de Adjudicaciones de fecha 09/10/13, aconsejó adjudicar a las firmas: ANDERSON L</w:t>
      </w:r>
      <w:r w:rsidR="00C823C8">
        <w:rPr>
          <w:rFonts w:cs="Arial"/>
        </w:rPr>
        <w:t xml:space="preserve">tda. </w:t>
      </w:r>
      <w:r>
        <w:rPr>
          <w:rFonts w:cs="Arial"/>
        </w:rPr>
        <w:t xml:space="preserve">por $ 182.316,80, BETTASUL S.A. por  $ 6.419,02, </w:t>
      </w:r>
      <w:r w:rsidRPr="00692752">
        <w:rPr>
          <w:rFonts w:cs="Arial"/>
          <w:spacing w:val="6"/>
        </w:rPr>
        <w:t>COOPERATIVA EL CEIBO por $ 164.700,00, DROGUERÍA PAYSANDÚ por $ 61.780,80,</w:t>
      </w:r>
      <w:r w:rsidR="00C823C8" w:rsidRPr="00692752">
        <w:rPr>
          <w:rFonts w:cs="Arial"/>
          <w:spacing w:val="6"/>
        </w:rPr>
        <w:t xml:space="preserve"> </w:t>
      </w:r>
      <w:r w:rsidRPr="00692752">
        <w:rPr>
          <w:rFonts w:cs="Arial"/>
          <w:spacing w:val="6"/>
        </w:rPr>
        <w:t>ECO</w:t>
      </w:r>
      <w:r w:rsidR="00C823C8" w:rsidRPr="00692752">
        <w:rPr>
          <w:rFonts w:cs="Arial"/>
          <w:spacing w:val="6"/>
        </w:rPr>
        <w:t>-</w:t>
      </w:r>
      <w:r w:rsidRPr="00692752">
        <w:rPr>
          <w:rFonts w:cs="Arial"/>
          <w:spacing w:val="6"/>
        </w:rPr>
        <w:t>QUIMICA S.R.L. por $ 208.559, EMPREST SRL por $</w:t>
      </w:r>
      <w:r>
        <w:rPr>
          <w:rFonts w:cs="Arial"/>
        </w:rPr>
        <w:t xml:space="preserve"> 115.481,84, ISORAL (PAP MONTEVIDEO) por $ 278.160, MEDELTAR S.A. por $ 383.392,66, NEBOTIL S.A. por $ 4.533,12 VIMAX Ltda. por $ 61.000</w:t>
      </w:r>
      <w:r w:rsidR="00C823C8">
        <w:rPr>
          <w:rFonts w:cs="Arial"/>
        </w:rPr>
        <w:t>,</w:t>
      </w:r>
      <w:r>
        <w:rPr>
          <w:rFonts w:cs="Arial"/>
        </w:rPr>
        <w:t xml:space="preserve"> siendo el total adjudicado $ 1:466.343 impuestos incluidos;</w:t>
      </w:r>
    </w:p>
    <w:p w:rsidR="00D62CA1" w:rsidRDefault="00D62CA1" w:rsidP="00692752">
      <w:pPr>
        <w:pStyle w:val="Textoindependiente"/>
        <w:ind w:firstLine="2694"/>
        <w:rPr>
          <w:rFonts w:cs="Arial"/>
        </w:rPr>
      </w:pPr>
      <w:r>
        <w:rPr>
          <w:rFonts w:cs="Arial"/>
          <w:b/>
          <w:bCs/>
        </w:rPr>
        <w:t>2)</w:t>
      </w:r>
      <w:r>
        <w:rPr>
          <w:rFonts w:cs="Arial"/>
        </w:rPr>
        <w:t xml:space="preserve"> que por Resolución de fecha 10/10/13 la Directora del Centro Regional de  Maldonado, adjudicó la Licitación de referencia</w:t>
      </w:r>
      <w:r w:rsidR="00C823C8">
        <w:rPr>
          <w:rFonts w:cs="Arial"/>
        </w:rPr>
        <w:t xml:space="preserve">, en </w:t>
      </w:r>
      <w:r>
        <w:rPr>
          <w:rFonts w:cs="Arial"/>
        </w:rPr>
        <w:t>la forma propuesta por la Comisión Asesora de Adjudicaciones;</w:t>
      </w:r>
    </w:p>
    <w:p w:rsidR="002F79DE" w:rsidRDefault="00D62CA1" w:rsidP="00692752">
      <w:pPr>
        <w:pStyle w:val="Textoindependiente"/>
        <w:ind w:firstLine="2694"/>
        <w:rPr>
          <w:rFonts w:cs="Arial"/>
        </w:rPr>
      </w:pPr>
      <w:r>
        <w:rPr>
          <w:rFonts w:cs="Arial"/>
          <w:b/>
          <w:bCs/>
        </w:rPr>
        <w:t>3)</w:t>
      </w:r>
      <w:r>
        <w:rPr>
          <w:rFonts w:cs="Arial"/>
        </w:rPr>
        <w:t xml:space="preserve"> que con fecha 01/11/13 la Contadora Delegada </w:t>
      </w:r>
      <w:r w:rsidR="00D62190">
        <w:rPr>
          <w:rFonts w:cs="Arial"/>
        </w:rPr>
        <w:t>en</w:t>
      </w:r>
      <w:bookmarkStart w:id="0" w:name="_GoBack"/>
      <w:bookmarkEnd w:id="0"/>
      <w:r>
        <w:rPr>
          <w:rFonts w:cs="Arial"/>
        </w:rPr>
        <w:t xml:space="preserve">  ASSE</w:t>
      </w:r>
      <w:r w:rsidR="00C823C8">
        <w:rPr>
          <w:rFonts w:cs="Arial"/>
        </w:rPr>
        <w:t>,</w:t>
      </w:r>
      <w:r>
        <w:rPr>
          <w:rFonts w:cs="Arial"/>
        </w:rPr>
        <w:t xml:space="preserve"> observó el</w:t>
      </w:r>
      <w:r w:rsidR="002F79DE">
        <w:rPr>
          <w:rFonts w:cs="Arial"/>
        </w:rPr>
        <w:t xml:space="preserve"> gasto por incumplimiento de:  </w:t>
      </w:r>
    </w:p>
    <w:p w:rsidR="00D62CA1" w:rsidRDefault="00D62CA1" w:rsidP="00692752">
      <w:pPr>
        <w:pStyle w:val="Textoindependiente"/>
        <w:ind w:left="426" w:hanging="426"/>
        <w:rPr>
          <w:rFonts w:cs="Arial"/>
        </w:rPr>
      </w:pPr>
      <w:r>
        <w:rPr>
          <w:rFonts w:cs="Arial"/>
          <w:b/>
        </w:rPr>
        <w:t>3.1)</w:t>
      </w:r>
      <w:r>
        <w:rPr>
          <w:rFonts w:cs="Arial"/>
        </w:rPr>
        <w:t xml:space="preserve"> Art</w:t>
      </w:r>
      <w:r w:rsidR="00C823C8">
        <w:rPr>
          <w:rFonts w:cs="Arial"/>
        </w:rPr>
        <w:t xml:space="preserve">ículo </w:t>
      </w:r>
      <w:r>
        <w:rPr>
          <w:rFonts w:cs="Arial"/>
        </w:rPr>
        <w:t>63 del TOCAF, en lo referente a la adecuación de las ofertas a lo establecido en el Pliego Particular de Condiciones: la empresa ANDERSON no consta en el expediente que haya entregado muestras de los ítems cotizados, según lo solicitado en el Pliego</w:t>
      </w:r>
      <w:r w:rsidR="00692752">
        <w:rPr>
          <w:rFonts w:cs="Arial"/>
        </w:rPr>
        <w:t xml:space="preserve">; </w:t>
      </w:r>
      <w:r>
        <w:rPr>
          <w:rFonts w:cs="Arial"/>
        </w:rPr>
        <w:t xml:space="preserve"> y</w:t>
      </w:r>
    </w:p>
    <w:p w:rsidR="00D62CA1" w:rsidRDefault="00D62CA1" w:rsidP="00692752">
      <w:pPr>
        <w:pStyle w:val="Textoindependiente"/>
        <w:ind w:left="426" w:hanging="426"/>
        <w:rPr>
          <w:rFonts w:cs="Arial"/>
        </w:rPr>
      </w:pPr>
      <w:r>
        <w:rPr>
          <w:rFonts w:cs="Arial"/>
          <w:b/>
          <w:bCs/>
        </w:rPr>
        <w:lastRenderedPageBreak/>
        <w:t>3</w:t>
      </w:r>
      <w:r>
        <w:rPr>
          <w:rFonts w:cs="Arial"/>
          <w:b/>
        </w:rPr>
        <w:t xml:space="preserve">.2) </w:t>
      </w:r>
      <w:r>
        <w:rPr>
          <w:rFonts w:cs="Arial"/>
        </w:rPr>
        <w:t>Art</w:t>
      </w:r>
      <w:r w:rsidR="00C823C8">
        <w:rPr>
          <w:rFonts w:cs="Arial"/>
        </w:rPr>
        <w:t xml:space="preserve">ículo </w:t>
      </w:r>
      <w:r>
        <w:rPr>
          <w:rFonts w:cs="Arial"/>
        </w:rPr>
        <w:t>65 párrafo final del TOCAF, dado que al momento de determinar la oferta más conveniente no se tienen en cuenta los factores de evaluación definidos en el Pliego. El mismo establece que la adjudicación se realizará ponderando 40% precio 60% calidad. Sin embargo se expresa que en el Acta de Comisión Asesora como criterios utilizados para tal adjudicación: para los ítems 4,8,10,14,17,18,19, 21,25 al 32, 41,a 44 son adjudicados únicamente por calidad, y el resto de los ítems únicamente por precio. Los ítems 37 y 40 son adjudicados por precio en forma parcial a 2 diferentes proveedores en cantidades diferentes y con ofertas de precios no similares;</w:t>
      </w:r>
    </w:p>
    <w:p w:rsidR="00D62CA1" w:rsidRDefault="00D62CA1" w:rsidP="00692752">
      <w:pPr>
        <w:pStyle w:val="Textoindependiente"/>
        <w:ind w:firstLine="2694"/>
        <w:rPr>
          <w:rFonts w:cs="Arial"/>
        </w:rPr>
      </w:pPr>
      <w:r>
        <w:rPr>
          <w:rFonts w:cs="Arial"/>
          <w:b/>
          <w:bCs/>
        </w:rPr>
        <w:t xml:space="preserve">4) </w:t>
      </w:r>
      <w:r>
        <w:rPr>
          <w:rFonts w:cs="Arial"/>
        </w:rPr>
        <w:t xml:space="preserve">que </w:t>
      </w:r>
      <w:r w:rsidR="00E46E09">
        <w:rPr>
          <w:rFonts w:cs="Arial"/>
        </w:rPr>
        <w:t xml:space="preserve">se adjunta </w:t>
      </w:r>
      <w:r>
        <w:rPr>
          <w:rFonts w:cs="Arial"/>
        </w:rPr>
        <w:t>nueva acta de la Comisión Asesora de Adjudicaciones</w:t>
      </w:r>
      <w:r w:rsidR="00E46E09">
        <w:rPr>
          <w:rFonts w:cs="Arial"/>
        </w:rPr>
        <w:t>,</w:t>
      </w:r>
      <w:r>
        <w:rPr>
          <w:rFonts w:cs="Arial"/>
        </w:rPr>
        <w:t xml:space="preserve"> en donde se agrega a todos los ítems como “motivo: otro motivo”, precio y calidad;  </w:t>
      </w:r>
    </w:p>
    <w:p w:rsidR="00D62CA1" w:rsidRDefault="00D62CA1" w:rsidP="00692752">
      <w:pPr>
        <w:pStyle w:val="Textoindependiente"/>
        <w:ind w:firstLine="2694"/>
        <w:rPr>
          <w:rFonts w:cs="Arial"/>
        </w:rPr>
      </w:pPr>
      <w:r>
        <w:rPr>
          <w:rFonts w:cs="Arial"/>
          <w:b/>
          <w:bCs/>
        </w:rPr>
        <w:t>5)</w:t>
      </w:r>
      <w:r>
        <w:rPr>
          <w:rFonts w:cs="Arial"/>
        </w:rPr>
        <w:t xml:space="preserve"> que por </w:t>
      </w:r>
      <w:r w:rsidR="00147652">
        <w:rPr>
          <w:rFonts w:cs="Arial"/>
        </w:rPr>
        <w:t xml:space="preserve">nueva </w:t>
      </w:r>
      <w:r>
        <w:rPr>
          <w:rFonts w:cs="Arial"/>
        </w:rPr>
        <w:t>Resolución de la Directora del Centro Regional de  Maldonado</w:t>
      </w:r>
      <w:r w:rsidR="00E46E09">
        <w:rPr>
          <w:rFonts w:cs="Arial"/>
        </w:rPr>
        <w:t xml:space="preserve"> de fecha 14/11/13</w:t>
      </w:r>
      <w:r>
        <w:rPr>
          <w:rFonts w:cs="Arial"/>
        </w:rPr>
        <w:t xml:space="preserve">, adjudicó la Licitación </w:t>
      </w:r>
      <w:r w:rsidR="00E46E09">
        <w:rPr>
          <w:rFonts w:cs="Arial"/>
        </w:rPr>
        <w:t xml:space="preserve">referida, </w:t>
      </w:r>
      <w:r>
        <w:rPr>
          <w:rFonts w:cs="Arial"/>
        </w:rPr>
        <w:t xml:space="preserve">de acuerdo </w:t>
      </w:r>
      <w:r w:rsidR="00BD35BB">
        <w:rPr>
          <w:rFonts w:cs="Arial"/>
        </w:rPr>
        <w:t>con el</w:t>
      </w:r>
      <w:r>
        <w:rPr>
          <w:rFonts w:cs="Arial"/>
        </w:rPr>
        <w:t xml:space="preserve"> informe de la Comisión Asesora en el que se incluyeron los motivos por los que se aconseja adjudicar;</w:t>
      </w:r>
    </w:p>
    <w:p w:rsidR="00D62CA1" w:rsidRDefault="00D62CA1" w:rsidP="00D62190">
      <w:pPr>
        <w:pStyle w:val="Textoindependiente"/>
        <w:ind w:firstLine="2694"/>
        <w:rPr>
          <w:rFonts w:cs="Arial"/>
        </w:rPr>
      </w:pPr>
      <w:r>
        <w:rPr>
          <w:rFonts w:cs="Arial"/>
          <w:b/>
          <w:bCs/>
        </w:rPr>
        <w:t>6)</w:t>
      </w:r>
      <w:r>
        <w:rPr>
          <w:rFonts w:cs="Arial"/>
        </w:rPr>
        <w:t xml:space="preserve"> que con fecha 09/10/13 la Contadora Delegada eleva las nuevas actuaciones para su consideración; </w:t>
      </w:r>
    </w:p>
    <w:p w:rsidR="00D62CA1" w:rsidRPr="00D62190" w:rsidRDefault="00D62CA1" w:rsidP="00D62190">
      <w:pPr>
        <w:pStyle w:val="Textoindependiente"/>
        <w:ind w:firstLine="708"/>
      </w:pPr>
      <w:r>
        <w:rPr>
          <w:rFonts w:cs="Arial"/>
          <w:b/>
        </w:rPr>
        <w:t xml:space="preserve">CONSIDERANDO: </w:t>
      </w:r>
      <w:r w:rsidRPr="002F79DE">
        <w:rPr>
          <w:rFonts w:cs="Arial"/>
          <w:b/>
        </w:rPr>
        <w:t>1)</w:t>
      </w:r>
      <w:r>
        <w:rPr>
          <w:rFonts w:cs="Arial"/>
          <w:b/>
        </w:rPr>
        <w:t xml:space="preserve"> </w:t>
      </w:r>
      <w:r>
        <w:rPr>
          <w:rFonts w:cs="Arial"/>
          <w:bCs/>
        </w:rPr>
        <w:t>q</w:t>
      </w:r>
      <w:r>
        <w:t xml:space="preserve">ue el Pliego de Condiciones Particulares  </w:t>
      </w:r>
      <w:r w:rsidRPr="00D62190">
        <w:rPr>
          <w:rFonts w:cs="Arial"/>
          <w:spacing w:val="-3"/>
          <w:lang w:val="es-ES_tradnl"/>
        </w:rPr>
        <w:t xml:space="preserve">establece </w:t>
      </w:r>
      <w:r w:rsidR="002F79DE" w:rsidRPr="00D62190">
        <w:rPr>
          <w:rFonts w:cs="Arial"/>
          <w:spacing w:val="-3"/>
          <w:lang w:val="es-ES_tradnl"/>
        </w:rPr>
        <w:t xml:space="preserve">que </w:t>
      </w:r>
      <w:r w:rsidRPr="00D62190">
        <w:rPr>
          <w:rFonts w:cs="Arial"/>
        </w:rPr>
        <w:t>“se deberán presentar muestras de los ítems cotizados”</w:t>
      </w:r>
      <w:r w:rsidRPr="00D62190">
        <w:rPr>
          <w:rFonts w:cs="Arial"/>
          <w:spacing w:val="-3"/>
          <w:lang w:val="es-ES_tradnl"/>
        </w:rPr>
        <w:t>;</w:t>
      </w:r>
    </w:p>
    <w:p w:rsidR="00D62CA1" w:rsidRDefault="00D62CA1" w:rsidP="00D62190">
      <w:pPr>
        <w:pStyle w:val="Sangradetextonormal"/>
        <w:spacing w:after="0" w:line="360" w:lineRule="auto"/>
        <w:ind w:left="0" w:firstLine="2977"/>
        <w:jc w:val="both"/>
        <w:rPr>
          <w:rFonts w:cs="Arial"/>
        </w:rPr>
      </w:pPr>
      <w:r w:rsidRPr="002F79DE">
        <w:rPr>
          <w:b/>
        </w:rPr>
        <w:t>2</w:t>
      </w:r>
      <w:r w:rsidRPr="002F79DE">
        <w:rPr>
          <w:b/>
          <w:bCs/>
        </w:rPr>
        <w:t>)</w:t>
      </w:r>
      <w:r>
        <w:t xml:space="preserve"> </w:t>
      </w:r>
      <w:r>
        <w:rPr>
          <w:rFonts w:cs="Arial"/>
        </w:rPr>
        <w:t xml:space="preserve">que la firma ANDERSON  </w:t>
      </w:r>
      <w:r w:rsidR="002F79DE">
        <w:rPr>
          <w:rFonts w:cs="Arial"/>
        </w:rPr>
        <w:t xml:space="preserve">LTDA. </w:t>
      </w:r>
      <w:r>
        <w:rPr>
          <w:rFonts w:cs="Arial"/>
        </w:rPr>
        <w:t>omitió presentar las muestras solicitadas, y nada se aclara en las nuevas actuaciones remitidas</w:t>
      </w:r>
      <w:r w:rsidR="00C36D4E">
        <w:rPr>
          <w:rFonts w:cs="Arial"/>
        </w:rPr>
        <w:t xml:space="preserve"> acerca de dicho extremo</w:t>
      </w:r>
      <w:r>
        <w:rPr>
          <w:rFonts w:cs="Arial"/>
        </w:rPr>
        <w:t>;</w:t>
      </w:r>
    </w:p>
    <w:p w:rsidR="00D62CA1" w:rsidRDefault="00D62CA1" w:rsidP="00D62190">
      <w:pPr>
        <w:pStyle w:val="Textoindependiente"/>
        <w:ind w:firstLine="2977"/>
      </w:pPr>
      <w:r w:rsidRPr="00042F7C">
        <w:rPr>
          <w:rFonts w:cs="Arial"/>
          <w:b/>
        </w:rPr>
        <w:t>3)</w:t>
      </w:r>
      <w:r>
        <w:rPr>
          <w:rFonts w:cs="Arial"/>
        </w:rPr>
        <w:t xml:space="preserve"> que </w:t>
      </w:r>
      <w:r w:rsidR="002F79DE">
        <w:rPr>
          <w:rFonts w:cs="Arial"/>
        </w:rPr>
        <w:t xml:space="preserve">respecto de la observación formulada en el marco de lo preceptuado por el </w:t>
      </w:r>
      <w:r w:rsidR="00BD35BB">
        <w:rPr>
          <w:rFonts w:cs="Arial"/>
        </w:rPr>
        <w:t xml:space="preserve">Artículo </w:t>
      </w:r>
      <w:r>
        <w:t xml:space="preserve">65 Literal </w:t>
      </w:r>
      <w:r w:rsidR="00BD35BB">
        <w:t>C</w:t>
      </w:r>
      <w:r>
        <w:t>) del T</w:t>
      </w:r>
      <w:r w:rsidR="00042F7C">
        <w:t>.</w:t>
      </w:r>
      <w:r>
        <w:t>O</w:t>
      </w:r>
      <w:r w:rsidR="00042F7C">
        <w:t>.</w:t>
      </w:r>
      <w:r>
        <w:t>C</w:t>
      </w:r>
      <w:r w:rsidR="00042F7C">
        <w:t>.</w:t>
      </w:r>
      <w:r>
        <w:t>A</w:t>
      </w:r>
      <w:r w:rsidR="00042F7C">
        <w:t>.</w:t>
      </w:r>
      <w:r>
        <w:t>F</w:t>
      </w:r>
      <w:r w:rsidR="00042F7C">
        <w:t xml:space="preserve">., la misma ha sido subsanada en oportunidad de dictar la segunda Acta de la Comisión Asesora, tal como ya se señaló precedentemente; </w:t>
      </w:r>
    </w:p>
    <w:p w:rsidR="00D62CA1" w:rsidRDefault="00D62CA1" w:rsidP="00042F7C">
      <w:pPr>
        <w:pStyle w:val="Sangradetextonormal"/>
        <w:spacing w:line="360" w:lineRule="auto"/>
        <w:ind w:left="0" w:firstLine="708"/>
        <w:jc w:val="both"/>
        <w:rPr>
          <w:lang w:val="es-UY"/>
        </w:rPr>
      </w:pPr>
      <w:r>
        <w:rPr>
          <w:b/>
          <w:bCs/>
          <w:spacing w:val="-3"/>
          <w:lang w:val="es-ES_tradnl"/>
        </w:rPr>
        <w:t>ATENTO</w:t>
      </w:r>
      <w:r>
        <w:rPr>
          <w:spacing w:val="-3"/>
          <w:lang w:val="es-ES_tradnl"/>
        </w:rPr>
        <w:t xml:space="preserve">: a lo precedentemente expuesto </w:t>
      </w:r>
      <w:r>
        <w:rPr>
          <w:lang w:val="es-UY"/>
        </w:rPr>
        <w:t xml:space="preserve">y a lo establecido en el </w:t>
      </w:r>
      <w:r w:rsidR="00EB2C11">
        <w:rPr>
          <w:lang w:val="es-UY"/>
        </w:rPr>
        <w:t>A</w:t>
      </w:r>
      <w:r w:rsidR="00BD35BB">
        <w:rPr>
          <w:lang w:val="es-UY"/>
        </w:rPr>
        <w:t>rtículo 211 L</w:t>
      </w:r>
      <w:r>
        <w:rPr>
          <w:lang w:val="es-UY"/>
        </w:rPr>
        <w:t>iteral B) de la Constitución de la República;</w:t>
      </w:r>
    </w:p>
    <w:p w:rsidR="00D62CA1" w:rsidRDefault="00D62CA1">
      <w:pPr>
        <w:tabs>
          <w:tab w:val="left" w:pos="-720"/>
        </w:tabs>
        <w:suppressAutoHyphens/>
        <w:spacing w:line="360" w:lineRule="auto"/>
        <w:ind w:firstLine="708"/>
        <w:jc w:val="both"/>
        <w:rPr>
          <w:b/>
        </w:rPr>
      </w:pPr>
      <w:r>
        <w:lastRenderedPageBreak/>
        <w:t xml:space="preserve">                           </w:t>
      </w:r>
      <w:r>
        <w:rPr>
          <w:b/>
        </w:rPr>
        <w:t>EL TRIBUNAL ACUERDA</w:t>
      </w:r>
    </w:p>
    <w:p w:rsidR="00D62CA1" w:rsidRDefault="00042F7C">
      <w:pPr>
        <w:numPr>
          <w:ilvl w:val="0"/>
          <w:numId w:val="1"/>
        </w:numPr>
        <w:tabs>
          <w:tab w:val="left" w:pos="-720"/>
        </w:tabs>
        <w:suppressAutoHyphens/>
        <w:spacing w:line="360" w:lineRule="auto"/>
        <w:jc w:val="both"/>
        <w:rPr>
          <w:rFonts w:cs="Arial"/>
          <w:spacing w:val="-3"/>
          <w:lang w:val="es-ES_tradnl"/>
        </w:rPr>
      </w:pPr>
      <w:r>
        <w:rPr>
          <w:rFonts w:cs="Arial"/>
          <w:spacing w:val="-3"/>
          <w:lang w:val="es-ES_tradnl"/>
        </w:rPr>
        <w:t>Observar el gasto.</w:t>
      </w:r>
    </w:p>
    <w:p w:rsidR="00C15302" w:rsidRDefault="00C15302">
      <w:pPr>
        <w:numPr>
          <w:ilvl w:val="0"/>
          <w:numId w:val="1"/>
        </w:numPr>
        <w:tabs>
          <w:tab w:val="left" w:pos="-720"/>
        </w:tabs>
        <w:suppressAutoHyphens/>
        <w:spacing w:line="360" w:lineRule="auto"/>
        <w:jc w:val="both"/>
        <w:rPr>
          <w:rFonts w:cs="Arial"/>
          <w:spacing w:val="-3"/>
          <w:lang w:val="es-ES_tradnl"/>
        </w:rPr>
      </w:pPr>
      <w:r>
        <w:rPr>
          <w:rFonts w:cs="Arial"/>
          <w:spacing w:val="-3"/>
          <w:lang w:val="es-ES_tradnl"/>
        </w:rPr>
        <w:t>Comunicar a la Contadora Delegada</w:t>
      </w:r>
      <w:r w:rsidR="00BD35BB">
        <w:rPr>
          <w:rFonts w:cs="Arial"/>
          <w:spacing w:val="-3"/>
          <w:lang w:val="es-ES_tradnl"/>
        </w:rPr>
        <w:t>; y</w:t>
      </w:r>
    </w:p>
    <w:p w:rsidR="00D62CA1" w:rsidRPr="00BD35BB" w:rsidRDefault="00042F7C">
      <w:pPr>
        <w:numPr>
          <w:ilvl w:val="0"/>
          <w:numId w:val="1"/>
        </w:numPr>
        <w:tabs>
          <w:tab w:val="left" w:pos="-720"/>
        </w:tabs>
        <w:suppressAutoHyphens/>
        <w:spacing w:line="360" w:lineRule="auto"/>
        <w:jc w:val="both"/>
        <w:rPr>
          <w:rFonts w:cs="Arial"/>
        </w:rPr>
      </w:pPr>
      <w:r>
        <w:t>Devolver las actuaciones.</w:t>
      </w:r>
    </w:p>
    <w:p w:rsidR="00BD35BB" w:rsidRDefault="00BD35BB" w:rsidP="00BD35BB">
      <w:pPr>
        <w:tabs>
          <w:tab w:val="left" w:pos="-720"/>
        </w:tabs>
        <w:suppressAutoHyphens/>
        <w:spacing w:line="360" w:lineRule="auto"/>
        <w:jc w:val="both"/>
      </w:pPr>
    </w:p>
    <w:p w:rsidR="00BD35BB" w:rsidRDefault="00BD35BB" w:rsidP="00BD35BB">
      <w:pPr>
        <w:tabs>
          <w:tab w:val="left" w:pos="-720"/>
        </w:tabs>
        <w:suppressAutoHyphens/>
        <w:spacing w:line="360" w:lineRule="auto"/>
        <w:jc w:val="both"/>
      </w:pPr>
    </w:p>
    <w:p w:rsidR="00BD35BB" w:rsidRDefault="00BD35BB" w:rsidP="00BD35BB">
      <w:pPr>
        <w:tabs>
          <w:tab w:val="left" w:pos="-720"/>
        </w:tabs>
        <w:suppressAutoHyphens/>
        <w:spacing w:line="360" w:lineRule="auto"/>
        <w:jc w:val="both"/>
      </w:pPr>
    </w:p>
    <w:p w:rsidR="00BD35BB" w:rsidRDefault="00BD35BB" w:rsidP="00BD35BB">
      <w:pPr>
        <w:tabs>
          <w:tab w:val="left" w:pos="-720"/>
        </w:tabs>
        <w:suppressAutoHyphens/>
        <w:spacing w:line="360" w:lineRule="auto"/>
        <w:jc w:val="both"/>
      </w:pPr>
    </w:p>
    <w:p w:rsidR="00BD35BB" w:rsidRDefault="00BD35BB" w:rsidP="00BD35BB">
      <w:pPr>
        <w:tabs>
          <w:tab w:val="left" w:pos="-720"/>
        </w:tabs>
        <w:suppressAutoHyphens/>
        <w:spacing w:line="360" w:lineRule="auto"/>
        <w:jc w:val="both"/>
      </w:pPr>
    </w:p>
    <w:p w:rsidR="00BD35BB" w:rsidRDefault="00BD35BB" w:rsidP="00BD35BB">
      <w:pPr>
        <w:tabs>
          <w:tab w:val="left" w:pos="-720"/>
        </w:tabs>
        <w:suppressAutoHyphens/>
        <w:spacing w:line="360" w:lineRule="auto"/>
        <w:jc w:val="both"/>
      </w:pPr>
    </w:p>
    <w:p w:rsidR="00BD35BB" w:rsidRDefault="00BD35BB" w:rsidP="00BD35BB">
      <w:pPr>
        <w:tabs>
          <w:tab w:val="left" w:pos="-720"/>
        </w:tabs>
        <w:suppressAutoHyphens/>
        <w:spacing w:line="360" w:lineRule="auto"/>
        <w:jc w:val="both"/>
      </w:pPr>
    </w:p>
    <w:p w:rsidR="00BD35BB" w:rsidRDefault="00BD35BB" w:rsidP="00BD35BB">
      <w:pPr>
        <w:tabs>
          <w:tab w:val="left" w:pos="-720"/>
        </w:tabs>
        <w:suppressAutoHyphens/>
        <w:spacing w:line="360" w:lineRule="auto"/>
        <w:jc w:val="both"/>
      </w:pPr>
    </w:p>
    <w:p w:rsidR="00BD35BB" w:rsidRDefault="00BD35BB" w:rsidP="00BD35BB">
      <w:pPr>
        <w:tabs>
          <w:tab w:val="left" w:pos="-720"/>
        </w:tabs>
        <w:suppressAutoHyphens/>
        <w:spacing w:line="360" w:lineRule="auto"/>
        <w:jc w:val="both"/>
      </w:pPr>
    </w:p>
    <w:p w:rsidR="00BD35BB" w:rsidRDefault="00BD35BB" w:rsidP="00BD35BB">
      <w:pPr>
        <w:tabs>
          <w:tab w:val="left" w:pos="-720"/>
        </w:tabs>
        <w:suppressAutoHyphens/>
        <w:spacing w:line="360" w:lineRule="auto"/>
        <w:jc w:val="both"/>
      </w:pPr>
    </w:p>
    <w:p w:rsidR="00BD35BB" w:rsidRDefault="00BD35BB" w:rsidP="00BD35BB">
      <w:pPr>
        <w:tabs>
          <w:tab w:val="left" w:pos="-720"/>
        </w:tabs>
        <w:suppressAutoHyphens/>
        <w:spacing w:line="360" w:lineRule="auto"/>
        <w:jc w:val="both"/>
        <w:rPr>
          <w:rFonts w:cs="Arial"/>
        </w:rPr>
      </w:pPr>
      <w:r>
        <w:t>cr</w:t>
      </w:r>
    </w:p>
    <w:sectPr w:rsidR="00BD35BB" w:rsidSect="00BD35BB">
      <w:footerReference w:type="even" r:id="rId8"/>
      <w:footerReference w:type="default" r:id="rId9"/>
      <w:pgSz w:w="11906" w:h="16838" w:code="9"/>
      <w:pgMar w:top="3402"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D5F" w:rsidRDefault="001D6D5F">
      <w:r>
        <w:separator/>
      </w:r>
    </w:p>
  </w:endnote>
  <w:endnote w:type="continuationSeparator" w:id="0">
    <w:p w:rsidR="001D6D5F" w:rsidRDefault="001D6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9DE" w:rsidRDefault="002F79DE">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F79DE" w:rsidRDefault="002F79D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9DE" w:rsidRDefault="002F79DE">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91622">
      <w:rPr>
        <w:rStyle w:val="Nmerodepgina"/>
        <w:noProof/>
      </w:rPr>
      <w:t>1</w:t>
    </w:r>
    <w:r>
      <w:rPr>
        <w:rStyle w:val="Nmerodepgina"/>
      </w:rPr>
      <w:fldChar w:fldCharType="end"/>
    </w:r>
  </w:p>
  <w:p w:rsidR="002F79DE" w:rsidRDefault="002F79D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D5F" w:rsidRDefault="001D6D5F">
      <w:r>
        <w:separator/>
      </w:r>
    </w:p>
  </w:footnote>
  <w:footnote w:type="continuationSeparator" w:id="0">
    <w:p w:rsidR="001D6D5F" w:rsidRDefault="001D6D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C7AD7"/>
    <w:multiLevelType w:val="hybridMultilevel"/>
    <w:tmpl w:val="D3529790"/>
    <w:lvl w:ilvl="0" w:tplc="32D0C1CA">
      <w:start w:val="1"/>
      <w:numFmt w:val="upperRoman"/>
      <w:lvlText w:val="%1)"/>
      <w:lvlJc w:val="left"/>
      <w:pPr>
        <w:ind w:left="1428" w:hanging="720"/>
      </w:pPr>
      <w:rPr>
        <w:rFonts w:hint="default"/>
        <w:u w:val="none"/>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nsid w:val="32CE334C"/>
    <w:multiLevelType w:val="singleLevel"/>
    <w:tmpl w:val="E572CACE"/>
    <w:lvl w:ilvl="0">
      <w:start w:val="1"/>
      <w:numFmt w:val="decimal"/>
      <w:lvlText w:val="%1)"/>
      <w:lvlJc w:val="left"/>
      <w:pPr>
        <w:tabs>
          <w:tab w:val="num" w:pos="360"/>
        </w:tabs>
        <w:ind w:left="360" w:hanging="360"/>
      </w:pPr>
      <w:rPr>
        <w:rFonts w:hint="default"/>
        <w:b/>
      </w:rPr>
    </w:lvl>
  </w:abstractNum>
  <w:abstractNum w:abstractNumId="2">
    <w:nsid w:val="3C4B553F"/>
    <w:multiLevelType w:val="hybridMultilevel"/>
    <w:tmpl w:val="16C61F26"/>
    <w:lvl w:ilvl="0" w:tplc="2ED4C4E4">
      <w:start w:val="1"/>
      <w:numFmt w:val="decimal"/>
      <w:lvlText w:val="%1)"/>
      <w:lvlJc w:val="left"/>
      <w:pPr>
        <w:tabs>
          <w:tab w:val="num" w:pos="420"/>
        </w:tabs>
        <w:ind w:left="420" w:hanging="360"/>
      </w:pPr>
      <w:rPr>
        <w:rFonts w:hint="default"/>
      </w:rPr>
    </w:lvl>
    <w:lvl w:ilvl="1" w:tplc="0C0A0019" w:tentative="1">
      <w:start w:val="1"/>
      <w:numFmt w:val="lowerLetter"/>
      <w:lvlText w:val="%2."/>
      <w:lvlJc w:val="left"/>
      <w:pPr>
        <w:tabs>
          <w:tab w:val="num" w:pos="1140"/>
        </w:tabs>
        <w:ind w:left="1140" w:hanging="360"/>
      </w:pPr>
    </w:lvl>
    <w:lvl w:ilvl="2" w:tplc="0C0A001B" w:tentative="1">
      <w:start w:val="1"/>
      <w:numFmt w:val="lowerRoman"/>
      <w:lvlText w:val="%3."/>
      <w:lvlJc w:val="right"/>
      <w:pPr>
        <w:tabs>
          <w:tab w:val="num" w:pos="1860"/>
        </w:tabs>
        <w:ind w:left="1860" w:hanging="180"/>
      </w:pPr>
    </w:lvl>
    <w:lvl w:ilvl="3" w:tplc="0C0A000F" w:tentative="1">
      <w:start w:val="1"/>
      <w:numFmt w:val="decimal"/>
      <w:lvlText w:val="%4."/>
      <w:lvlJc w:val="left"/>
      <w:pPr>
        <w:tabs>
          <w:tab w:val="num" w:pos="2580"/>
        </w:tabs>
        <w:ind w:left="2580" w:hanging="360"/>
      </w:pPr>
    </w:lvl>
    <w:lvl w:ilvl="4" w:tplc="0C0A0019" w:tentative="1">
      <w:start w:val="1"/>
      <w:numFmt w:val="lowerLetter"/>
      <w:lvlText w:val="%5."/>
      <w:lvlJc w:val="left"/>
      <w:pPr>
        <w:tabs>
          <w:tab w:val="num" w:pos="3300"/>
        </w:tabs>
        <w:ind w:left="3300" w:hanging="360"/>
      </w:pPr>
    </w:lvl>
    <w:lvl w:ilvl="5" w:tplc="0C0A001B" w:tentative="1">
      <w:start w:val="1"/>
      <w:numFmt w:val="lowerRoman"/>
      <w:lvlText w:val="%6."/>
      <w:lvlJc w:val="right"/>
      <w:pPr>
        <w:tabs>
          <w:tab w:val="num" w:pos="4020"/>
        </w:tabs>
        <w:ind w:left="4020" w:hanging="180"/>
      </w:p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CA1"/>
    <w:rsid w:val="00042F7C"/>
    <w:rsid w:val="000D388D"/>
    <w:rsid w:val="00105397"/>
    <w:rsid w:val="001353A4"/>
    <w:rsid w:val="00147652"/>
    <w:rsid w:val="001D6D5F"/>
    <w:rsid w:val="00214B2F"/>
    <w:rsid w:val="00291622"/>
    <w:rsid w:val="002A7AE6"/>
    <w:rsid w:val="002F79DE"/>
    <w:rsid w:val="00401F52"/>
    <w:rsid w:val="00413724"/>
    <w:rsid w:val="004951AC"/>
    <w:rsid w:val="00577265"/>
    <w:rsid w:val="005B79EE"/>
    <w:rsid w:val="006226D7"/>
    <w:rsid w:val="00692752"/>
    <w:rsid w:val="006F2288"/>
    <w:rsid w:val="007A6EA7"/>
    <w:rsid w:val="009906C9"/>
    <w:rsid w:val="00A25E7D"/>
    <w:rsid w:val="00BA6097"/>
    <w:rsid w:val="00BD35BB"/>
    <w:rsid w:val="00C07F35"/>
    <w:rsid w:val="00C15302"/>
    <w:rsid w:val="00C36D4E"/>
    <w:rsid w:val="00C44294"/>
    <w:rsid w:val="00C823C8"/>
    <w:rsid w:val="00C93748"/>
    <w:rsid w:val="00CA1CC2"/>
    <w:rsid w:val="00D62190"/>
    <w:rsid w:val="00D62CA1"/>
    <w:rsid w:val="00E46E09"/>
    <w:rsid w:val="00EB2C11"/>
    <w:rsid w:val="00EE5948"/>
    <w:rsid w:val="00F776E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Times New Roman" w:hAnsi="Arial"/>
      <w:sz w:val="24"/>
      <w:szCs w:val="24"/>
      <w:lang w:val="es-ES" w:eastAsia="es-ES"/>
    </w:rPr>
  </w:style>
  <w:style w:type="paragraph" w:styleId="Ttulo1">
    <w:name w:val="heading 1"/>
    <w:basedOn w:val="Normal"/>
    <w:next w:val="Normal"/>
    <w:qFormat/>
    <w:pPr>
      <w:keepNext/>
      <w:spacing w:line="360" w:lineRule="auto"/>
      <w:jc w:val="center"/>
      <w:outlineLvl w:val="0"/>
    </w:pPr>
    <w:rPr>
      <w:b/>
    </w:rPr>
  </w:style>
  <w:style w:type="paragraph" w:styleId="Ttulo2">
    <w:name w:val="heading 2"/>
    <w:basedOn w:val="Normal"/>
    <w:next w:val="Normal"/>
    <w:qFormat/>
    <w:pPr>
      <w:keepNext/>
      <w:spacing w:line="360" w:lineRule="auto"/>
      <w:jc w:val="center"/>
      <w:outlineLvl w:val="1"/>
    </w:pPr>
    <w:rPr>
      <w:rFonts w:cs="Arial"/>
      <w:b/>
      <w:bCs/>
    </w:rPr>
  </w:style>
  <w:style w:type="paragraph" w:styleId="Ttulo3">
    <w:name w:val="heading 3"/>
    <w:basedOn w:val="Normal"/>
    <w:next w:val="Normal"/>
    <w:qFormat/>
    <w:pPr>
      <w:keepNext/>
      <w:keepLines/>
      <w:spacing w:before="200"/>
      <w:outlineLvl w:val="2"/>
    </w:pPr>
    <w:rPr>
      <w:rFonts w:ascii="Cambria" w:hAnsi="Cambria"/>
      <w:b/>
      <w:b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rPr>
      <w:rFonts w:ascii="Arial" w:eastAsia="Times New Roman" w:hAnsi="Arial" w:cs="Times New Roman"/>
      <w:b/>
      <w:sz w:val="24"/>
      <w:szCs w:val="24"/>
      <w:lang w:eastAsia="es-ES"/>
    </w:rPr>
  </w:style>
  <w:style w:type="character" w:customStyle="1" w:styleId="Ttulo2Car">
    <w:name w:val="Título 2 Car"/>
    <w:rPr>
      <w:rFonts w:ascii="Arial" w:eastAsia="Times New Roman" w:hAnsi="Arial" w:cs="Arial"/>
      <w:b/>
      <w:bCs/>
      <w:sz w:val="24"/>
      <w:szCs w:val="24"/>
      <w:lang w:eastAsia="es-ES"/>
    </w:rPr>
  </w:style>
  <w:style w:type="paragraph" w:styleId="Textoindependiente">
    <w:name w:val="Body Text"/>
    <w:basedOn w:val="Normal"/>
    <w:semiHidden/>
    <w:pPr>
      <w:spacing w:line="360" w:lineRule="auto"/>
      <w:jc w:val="both"/>
    </w:pPr>
  </w:style>
  <w:style w:type="character" w:customStyle="1" w:styleId="TextoindependienteCar">
    <w:name w:val="Texto independiente Car"/>
    <w:rPr>
      <w:rFonts w:ascii="Arial" w:eastAsia="Times New Roman" w:hAnsi="Arial" w:cs="Times New Roman"/>
      <w:sz w:val="24"/>
      <w:szCs w:val="24"/>
      <w:lang w:eastAsia="es-ES"/>
    </w:rPr>
  </w:style>
  <w:style w:type="paragraph" w:styleId="Piedepgina">
    <w:name w:val="footer"/>
    <w:basedOn w:val="Normal"/>
    <w:semiHidden/>
    <w:pPr>
      <w:tabs>
        <w:tab w:val="center" w:pos="4252"/>
        <w:tab w:val="right" w:pos="8504"/>
      </w:tabs>
    </w:pPr>
  </w:style>
  <w:style w:type="character" w:customStyle="1" w:styleId="PiedepginaCar">
    <w:name w:val="Pie de página Car"/>
    <w:rPr>
      <w:rFonts w:ascii="Arial" w:eastAsia="Times New Roman" w:hAnsi="Arial" w:cs="Times New Roman"/>
      <w:sz w:val="24"/>
      <w:szCs w:val="24"/>
      <w:lang w:eastAsia="es-ES"/>
    </w:rPr>
  </w:style>
  <w:style w:type="character" w:styleId="Nmerodepgina">
    <w:name w:val="page number"/>
    <w:basedOn w:val="Fuentedeprrafopredeter"/>
    <w:semiHidden/>
  </w:style>
  <w:style w:type="paragraph" w:styleId="Encabezado">
    <w:name w:val="header"/>
    <w:basedOn w:val="Normal"/>
    <w:semiHidden/>
    <w:unhideWhenUsed/>
    <w:pPr>
      <w:tabs>
        <w:tab w:val="center" w:pos="4252"/>
        <w:tab w:val="right" w:pos="8504"/>
      </w:tabs>
    </w:pPr>
  </w:style>
  <w:style w:type="character" w:customStyle="1" w:styleId="EncabezadoCar">
    <w:name w:val="Encabezado Car"/>
    <w:rPr>
      <w:rFonts w:ascii="Arial" w:eastAsia="Times New Roman" w:hAnsi="Arial" w:cs="Times New Roman"/>
      <w:sz w:val="24"/>
      <w:szCs w:val="24"/>
      <w:lang w:eastAsia="es-ES"/>
    </w:rPr>
  </w:style>
  <w:style w:type="paragraph" w:styleId="Sangradetextonormal">
    <w:name w:val="Body Text Indent"/>
    <w:basedOn w:val="Normal"/>
    <w:semiHidden/>
    <w:unhideWhenUsed/>
    <w:pPr>
      <w:spacing w:after="120"/>
      <w:ind w:left="283"/>
    </w:pPr>
  </w:style>
  <w:style w:type="character" w:customStyle="1" w:styleId="SangradetextonormalCar">
    <w:name w:val="Sangría de texto normal Car"/>
    <w:rPr>
      <w:rFonts w:ascii="Arial" w:eastAsia="Times New Roman" w:hAnsi="Arial" w:cs="Times New Roman"/>
      <w:sz w:val="24"/>
      <w:szCs w:val="24"/>
      <w:lang w:eastAsia="es-ES"/>
    </w:rPr>
  </w:style>
  <w:style w:type="character" w:customStyle="1" w:styleId="Ttulo3Car">
    <w:name w:val="Título 3 Car"/>
    <w:rPr>
      <w:rFonts w:ascii="Cambria" w:eastAsia="Times New Roman" w:hAnsi="Cambria" w:cs="Times New Roman"/>
      <w:b/>
      <w:bCs/>
      <w:color w:val="4F81BD"/>
      <w:sz w:val="24"/>
      <w:szCs w:val="24"/>
      <w:lang w:eastAsia="es-ES"/>
    </w:rPr>
  </w:style>
  <w:style w:type="paragraph" w:styleId="Sangra2detindependiente">
    <w:name w:val="Body Text Indent 2"/>
    <w:basedOn w:val="Normal"/>
    <w:semiHidden/>
    <w:unhideWhenUsed/>
    <w:pPr>
      <w:spacing w:after="120" w:line="480" w:lineRule="auto"/>
      <w:ind w:left="283"/>
    </w:pPr>
  </w:style>
  <w:style w:type="character" w:customStyle="1" w:styleId="Sangra2detindependienteCar">
    <w:name w:val="Sangría 2 de t. independiente Car"/>
    <w:semiHidden/>
    <w:rPr>
      <w:rFonts w:ascii="Arial" w:eastAsia="Times New Roman" w:hAnsi="Arial" w:cs="Times New Roman"/>
      <w:sz w:val="24"/>
      <w:szCs w:val="24"/>
      <w:lang w:eastAsia="es-ES"/>
    </w:rPr>
  </w:style>
  <w:style w:type="paragraph" w:styleId="Ttulo">
    <w:name w:val="Title"/>
    <w:basedOn w:val="Normal"/>
    <w:qFormat/>
    <w:pPr>
      <w:spacing w:line="360" w:lineRule="auto"/>
      <w:jc w:val="center"/>
    </w:pPr>
    <w:rPr>
      <w:b/>
      <w:u w:val="single"/>
      <w:lang w:val="es-UY"/>
    </w:rPr>
  </w:style>
  <w:style w:type="paragraph" w:styleId="Textodeglobo">
    <w:name w:val="Balloon Text"/>
    <w:basedOn w:val="Normal"/>
    <w:semiHidden/>
    <w:unhideWhenUsed/>
    <w:rPr>
      <w:rFonts w:ascii="Tahoma" w:hAnsi="Tahoma" w:cs="Tahoma"/>
      <w:sz w:val="16"/>
      <w:szCs w:val="16"/>
    </w:rPr>
  </w:style>
  <w:style w:type="character" w:customStyle="1" w:styleId="TextodegloboCar">
    <w:name w:val="Texto de globo Car"/>
    <w:semiHidden/>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Times New Roman" w:hAnsi="Arial"/>
      <w:sz w:val="24"/>
      <w:szCs w:val="24"/>
      <w:lang w:val="es-ES" w:eastAsia="es-ES"/>
    </w:rPr>
  </w:style>
  <w:style w:type="paragraph" w:styleId="Ttulo1">
    <w:name w:val="heading 1"/>
    <w:basedOn w:val="Normal"/>
    <w:next w:val="Normal"/>
    <w:qFormat/>
    <w:pPr>
      <w:keepNext/>
      <w:spacing w:line="360" w:lineRule="auto"/>
      <w:jc w:val="center"/>
      <w:outlineLvl w:val="0"/>
    </w:pPr>
    <w:rPr>
      <w:b/>
    </w:rPr>
  </w:style>
  <w:style w:type="paragraph" w:styleId="Ttulo2">
    <w:name w:val="heading 2"/>
    <w:basedOn w:val="Normal"/>
    <w:next w:val="Normal"/>
    <w:qFormat/>
    <w:pPr>
      <w:keepNext/>
      <w:spacing w:line="360" w:lineRule="auto"/>
      <w:jc w:val="center"/>
      <w:outlineLvl w:val="1"/>
    </w:pPr>
    <w:rPr>
      <w:rFonts w:cs="Arial"/>
      <w:b/>
      <w:bCs/>
    </w:rPr>
  </w:style>
  <w:style w:type="paragraph" w:styleId="Ttulo3">
    <w:name w:val="heading 3"/>
    <w:basedOn w:val="Normal"/>
    <w:next w:val="Normal"/>
    <w:qFormat/>
    <w:pPr>
      <w:keepNext/>
      <w:keepLines/>
      <w:spacing w:before="200"/>
      <w:outlineLvl w:val="2"/>
    </w:pPr>
    <w:rPr>
      <w:rFonts w:ascii="Cambria" w:hAnsi="Cambria"/>
      <w:b/>
      <w:b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rPr>
      <w:rFonts w:ascii="Arial" w:eastAsia="Times New Roman" w:hAnsi="Arial" w:cs="Times New Roman"/>
      <w:b/>
      <w:sz w:val="24"/>
      <w:szCs w:val="24"/>
      <w:lang w:eastAsia="es-ES"/>
    </w:rPr>
  </w:style>
  <w:style w:type="character" w:customStyle="1" w:styleId="Ttulo2Car">
    <w:name w:val="Título 2 Car"/>
    <w:rPr>
      <w:rFonts w:ascii="Arial" w:eastAsia="Times New Roman" w:hAnsi="Arial" w:cs="Arial"/>
      <w:b/>
      <w:bCs/>
      <w:sz w:val="24"/>
      <w:szCs w:val="24"/>
      <w:lang w:eastAsia="es-ES"/>
    </w:rPr>
  </w:style>
  <w:style w:type="paragraph" w:styleId="Textoindependiente">
    <w:name w:val="Body Text"/>
    <w:basedOn w:val="Normal"/>
    <w:semiHidden/>
    <w:pPr>
      <w:spacing w:line="360" w:lineRule="auto"/>
      <w:jc w:val="both"/>
    </w:pPr>
  </w:style>
  <w:style w:type="character" w:customStyle="1" w:styleId="TextoindependienteCar">
    <w:name w:val="Texto independiente Car"/>
    <w:rPr>
      <w:rFonts w:ascii="Arial" w:eastAsia="Times New Roman" w:hAnsi="Arial" w:cs="Times New Roman"/>
      <w:sz w:val="24"/>
      <w:szCs w:val="24"/>
      <w:lang w:eastAsia="es-ES"/>
    </w:rPr>
  </w:style>
  <w:style w:type="paragraph" w:styleId="Piedepgina">
    <w:name w:val="footer"/>
    <w:basedOn w:val="Normal"/>
    <w:semiHidden/>
    <w:pPr>
      <w:tabs>
        <w:tab w:val="center" w:pos="4252"/>
        <w:tab w:val="right" w:pos="8504"/>
      </w:tabs>
    </w:pPr>
  </w:style>
  <w:style w:type="character" w:customStyle="1" w:styleId="PiedepginaCar">
    <w:name w:val="Pie de página Car"/>
    <w:rPr>
      <w:rFonts w:ascii="Arial" w:eastAsia="Times New Roman" w:hAnsi="Arial" w:cs="Times New Roman"/>
      <w:sz w:val="24"/>
      <w:szCs w:val="24"/>
      <w:lang w:eastAsia="es-ES"/>
    </w:rPr>
  </w:style>
  <w:style w:type="character" w:styleId="Nmerodepgina">
    <w:name w:val="page number"/>
    <w:basedOn w:val="Fuentedeprrafopredeter"/>
    <w:semiHidden/>
  </w:style>
  <w:style w:type="paragraph" w:styleId="Encabezado">
    <w:name w:val="header"/>
    <w:basedOn w:val="Normal"/>
    <w:semiHidden/>
    <w:unhideWhenUsed/>
    <w:pPr>
      <w:tabs>
        <w:tab w:val="center" w:pos="4252"/>
        <w:tab w:val="right" w:pos="8504"/>
      </w:tabs>
    </w:pPr>
  </w:style>
  <w:style w:type="character" w:customStyle="1" w:styleId="EncabezadoCar">
    <w:name w:val="Encabezado Car"/>
    <w:rPr>
      <w:rFonts w:ascii="Arial" w:eastAsia="Times New Roman" w:hAnsi="Arial" w:cs="Times New Roman"/>
      <w:sz w:val="24"/>
      <w:szCs w:val="24"/>
      <w:lang w:eastAsia="es-ES"/>
    </w:rPr>
  </w:style>
  <w:style w:type="paragraph" w:styleId="Sangradetextonormal">
    <w:name w:val="Body Text Indent"/>
    <w:basedOn w:val="Normal"/>
    <w:semiHidden/>
    <w:unhideWhenUsed/>
    <w:pPr>
      <w:spacing w:after="120"/>
      <w:ind w:left="283"/>
    </w:pPr>
  </w:style>
  <w:style w:type="character" w:customStyle="1" w:styleId="SangradetextonormalCar">
    <w:name w:val="Sangría de texto normal Car"/>
    <w:rPr>
      <w:rFonts w:ascii="Arial" w:eastAsia="Times New Roman" w:hAnsi="Arial" w:cs="Times New Roman"/>
      <w:sz w:val="24"/>
      <w:szCs w:val="24"/>
      <w:lang w:eastAsia="es-ES"/>
    </w:rPr>
  </w:style>
  <w:style w:type="character" w:customStyle="1" w:styleId="Ttulo3Car">
    <w:name w:val="Título 3 Car"/>
    <w:rPr>
      <w:rFonts w:ascii="Cambria" w:eastAsia="Times New Roman" w:hAnsi="Cambria" w:cs="Times New Roman"/>
      <w:b/>
      <w:bCs/>
      <w:color w:val="4F81BD"/>
      <w:sz w:val="24"/>
      <w:szCs w:val="24"/>
      <w:lang w:eastAsia="es-ES"/>
    </w:rPr>
  </w:style>
  <w:style w:type="paragraph" w:styleId="Sangra2detindependiente">
    <w:name w:val="Body Text Indent 2"/>
    <w:basedOn w:val="Normal"/>
    <w:semiHidden/>
    <w:unhideWhenUsed/>
    <w:pPr>
      <w:spacing w:after="120" w:line="480" w:lineRule="auto"/>
      <w:ind w:left="283"/>
    </w:pPr>
  </w:style>
  <w:style w:type="character" w:customStyle="1" w:styleId="Sangra2detindependienteCar">
    <w:name w:val="Sangría 2 de t. independiente Car"/>
    <w:semiHidden/>
    <w:rPr>
      <w:rFonts w:ascii="Arial" w:eastAsia="Times New Roman" w:hAnsi="Arial" w:cs="Times New Roman"/>
      <w:sz w:val="24"/>
      <w:szCs w:val="24"/>
      <w:lang w:eastAsia="es-ES"/>
    </w:rPr>
  </w:style>
  <w:style w:type="paragraph" w:styleId="Ttulo">
    <w:name w:val="Title"/>
    <w:basedOn w:val="Normal"/>
    <w:qFormat/>
    <w:pPr>
      <w:spacing w:line="360" w:lineRule="auto"/>
      <w:jc w:val="center"/>
    </w:pPr>
    <w:rPr>
      <w:b/>
      <w:u w:val="single"/>
      <w:lang w:val="es-UY"/>
    </w:rPr>
  </w:style>
  <w:style w:type="paragraph" w:styleId="Textodeglobo">
    <w:name w:val="Balloon Text"/>
    <w:basedOn w:val="Normal"/>
    <w:semiHidden/>
    <w:unhideWhenUsed/>
    <w:rPr>
      <w:rFonts w:ascii="Tahoma" w:hAnsi="Tahoma" w:cs="Tahoma"/>
      <w:sz w:val="16"/>
      <w:szCs w:val="16"/>
    </w:rPr>
  </w:style>
  <w:style w:type="character" w:customStyle="1" w:styleId="TextodegloboCar">
    <w:name w:val="Texto de globo Car"/>
    <w:semiHidden/>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540</Words>
  <Characters>2972</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CARPETA Nº: 2013-17-1-0001892</vt:lpstr>
    </vt:vector>
  </TitlesOfParts>
  <Company/>
  <LinksUpToDate>false</LinksUpToDate>
  <CharactersWithSpaces>3505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Nº: 2013-17-1-0001892</dc:title>
  <dc:subject/>
  <dc:creator>Tribunal1</dc:creator>
  <cp:keywords/>
  <cp:lastModifiedBy>Miriam Cristina Rivero</cp:lastModifiedBy>
  <cp:revision>2</cp:revision>
  <cp:lastPrinted>2014-01-13T13:45:00Z</cp:lastPrinted>
  <dcterms:created xsi:type="dcterms:W3CDTF">2014-01-13T13:45:00Z</dcterms:created>
  <dcterms:modified xsi:type="dcterms:W3CDTF">2014-01-13T13:45:00Z</dcterms:modified>
</cp:coreProperties>
</file>