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6576" w:rsidRDefault="00C86576">
      <w:pPr>
        <w:tabs>
          <w:tab w:val="center" w:pos="4253"/>
        </w:tabs>
        <w:suppressAutoHyphens/>
        <w:jc w:val="center"/>
        <w:rPr>
          <w:rFonts w:ascii="Helvetica" w:hAnsi="Helvetica"/>
          <w:b/>
          <w:lang w:val="es-ES_tradnl"/>
        </w:rPr>
      </w:pPr>
      <w:r>
        <w:rPr>
          <w:rFonts w:ascii="Helvetica" w:hAnsi="Helvetica"/>
          <w:b/>
          <w:lang w:val="es-ES_tradnl"/>
        </w:rPr>
        <w:t>RESOLUCION ADOPTADA POR EL</w:t>
      </w:r>
    </w:p>
    <w:p w:rsidR="00C86576" w:rsidRDefault="00C86576">
      <w:pPr>
        <w:tabs>
          <w:tab w:val="left" w:pos="-720"/>
        </w:tabs>
        <w:suppressAutoHyphens/>
        <w:jc w:val="center"/>
        <w:rPr>
          <w:rFonts w:ascii="Helvetica" w:hAnsi="Helvetica"/>
          <w:b/>
          <w:lang w:val="es-ES_tradnl"/>
        </w:rPr>
      </w:pPr>
    </w:p>
    <w:p w:rsidR="00C86576" w:rsidRDefault="00C86576">
      <w:pPr>
        <w:tabs>
          <w:tab w:val="center" w:pos="4253"/>
        </w:tabs>
        <w:suppressAutoHyphens/>
        <w:jc w:val="center"/>
        <w:rPr>
          <w:rFonts w:ascii="Helvetica" w:hAnsi="Helvetica"/>
          <w:b/>
          <w:lang w:val="es-ES_tradnl"/>
        </w:rPr>
      </w:pPr>
      <w:r>
        <w:rPr>
          <w:rFonts w:ascii="Helvetica" w:hAnsi="Helvetica"/>
          <w:b/>
          <w:lang w:val="es-ES_tradnl"/>
        </w:rPr>
        <w:t>TRIBUNAL DE CUENTAS</w:t>
      </w:r>
    </w:p>
    <w:p w:rsidR="00C86576" w:rsidRDefault="00C86576">
      <w:pPr>
        <w:tabs>
          <w:tab w:val="left" w:pos="-720"/>
        </w:tabs>
        <w:suppressAutoHyphens/>
        <w:jc w:val="center"/>
        <w:rPr>
          <w:rFonts w:ascii="Helvetica" w:hAnsi="Helvetica"/>
          <w:b/>
          <w:lang w:val="es-ES_tradnl"/>
        </w:rPr>
      </w:pPr>
    </w:p>
    <w:p w:rsidR="00C86576" w:rsidRDefault="00C86576">
      <w:pPr>
        <w:tabs>
          <w:tab w:val="center" w:pos="4253"/>
        </w:tabs>
        <w:suppressAutoHyphens/>
        <w:jc w:val="center"/>
        <w:rPr>
          <w:rFonts w:ascii="Helvetica" w:hAnsi="Helvetica"/>
          <w:b/>
          <w:lang w:val="es-ES_tradnl"/>
        </w:rPr>
      </w:pPr>
      <w:r>
        <w:rPr>
          <w:rFonts w:ascii="Helvetica" w:hAnsi="Helvetica"/>
          <w:b/>
          <w:lang w:val="es-ES_tradnl"/>
        </w:rPr>
        <w:t>EN SESION DE FECHA 30 DE DICIEMBRE DE 2013</w:t>
      </w:r>
    </w:p>
    <w:p w:rsidR="00C86576" w:rsidRDefault="00C86576">
      <w:pPr>
        <w:tabs>
          <w:tab w:val="center" w:pos="4253"/>
        </w:tabs>
        <w:suppressAutoHyphens/>
        <w:jc w:val="center"/>
        <w:rPr>
          <w:rFonts w:ascii="Helvetica" w:hAnsi="Helvetica"/>
          <w:b/>
          <w:lang w:val="es-ES_tradnl"/>
        </w:rPr>
      </w:pPr>
    </w:p>
    <w:p w:rsidR="00C86576" w:rsidRPr="00C86576" w:rsidRDefault="00C86576">
      <w:pPr>
        <w:tabs>
          <w:tab w:val="center" w:pos="4253"/>
        </w:tabs>
        <w:suppressAutoHyphens/>
        <w:jc w:val="center"/>
        <w:rPr>
          <w:rFonts w:ascii="Helvetica" w:hAnsi="Helvetica"/>
          <w:b/>
          <w:lang w:val="es-UY"/>
        </w:rPr>
      </w:pPr>
      <w:r w:rsidRPr="00C86576">
        <w:rPr>
          <w:rFonts w:ascii="Helvetica" w:hAnsi="Helvetica"/>
          <w:b/>
          <w:lang w:val="es-UY"/>
        </w:rPr>
        <w:t>(E. E. Nº 2013-17-1-0008273, Ent. N° 7039/13.)</w:t>
      </w:r>
    </w:p>
    <w:p w:rsidR="00C86576" w:rsidRPr="00C86576" w:rsidRDefault="00C86576">
      <w:pPr>
        <w:tabs>
          <w:tab w:val="center" w:pos="4253"/>
        </w:tabs>
        <w:suppressAutoHyphens/>
        <w:jc w:val="center"/>
        <w:rPr>
          <w:spacing w:val="-3"/>
          <w:lang w:val="es-UY"/>
        </w:rPr>
      </w:pPr>
    </w:p>
    <w:p w:rsidR="00C86576" w:rsidRPr="00C86576" w:rsidRDefault="00C86576">
      <w:pPr>
        <w:rPr>
          <w:lang w:val="es-UY"/>
        </w:rPr>
      </w:pPr>
    </w:p>
    <w:p w:rsidR="005B482F" w:rsidRDefault="00A41254" w:rsidP="00C86576">
      <w:pPr>
        <w:spacing w:line="360" w:lineRule="auto"/>
        <w:ind w:firstLine="708"/>
        <w:jc w:val="both"/>
        <w:rPr>
          <w:lang w:val="es-MX"/>
        </w:rPr>
      </w:pPr>
      <w:r>
        <w:rPr>
          <w:rFonts w:cs="Arial"/>
          <w:b/>
          <w:szCs w:val="24"/>
          <w:lang w:val="es-UY"/>
        </w:rPr>
        <w:t>VISTO:</w:t>
      </w:r>
      <w:r>
        <w:rPr>
          <w:rFonts w:cs="Arial"/>
          <w:szCs w:val="24"/>
          <w:lang w:val="es-UY"/>
        </w:rPr>
        <w:t xml:space="preserve"> </w:t>
      </w:r>
      <w:r>
        <w:rPr>
          <w:lang w:val="es-MX"/>
        </w:rPr>
        <w:t>que el Ministerio de Vivienda, Ordenamiento Territorial y Medio Ambiente (MVOTMA) remite actuaciones relativas al otorgamiento a la cooperativa de viviendas de propietarios, modalidad ayuda mutua, denominada COVILOGROS PVS,  inscripta en el MVOTMA con el número  Nº 0793 de un préstamo por un monto total de UR47.730;</w:t>
      </w:r>
    </w:p>
    <w:p w:rsidR="005B482F" w:rsidRDefault="00A41254" w:rsidP="00C86576">
      <w:pPr>
        <w:spacing w:line="360" w:lineRule="auto"/>
        <w:ind w:firstLine="708"/>
        <w:jc w:val="both"/>
        <w:rPr>
          <w:lang w:val="es-MX"/>
        </w:rPr>
      </w:pPr>
      <w:r>
        <w:rPr>
          <w:rFonts w:cs="Arial"/>
          <w:b/>
          <w:lang w:val="es-UY"/>
        </w:rPr>
        <w:t xml:space="preserve">RESULTANDO:  </w:t>
      </w:r>
      <w:r w:rsidRPr="00C86576">
        <w:rPr>
          <w:rFonts w:cs="Arial"/>
          <w:b/>
          <w:lang w:val="es-UY"/>
        </w:rPr>
        <w:t>1)</w:t>
      </w:r>
      <w:r>
        <w:rPr>
          <w:rFonts w:cs="Arial"/>
          <w:b/>
          <w:lang w:val="es-UY"/>
        </w:rPr>
        <w:t xml:space="preserve"> </w:t>
      </w:r>
      <w:r>
        <w:rPr>
          <w:rFonts w:cs="Arial"/>
          <w:lang w:val="es-UY"/>
        </w:rPr>
        <w:t>que e</w:t>
      </w:r>
      <w:r>
        <w:rPr>
          <w:lang w:val="es-MX"/>
        </w:rPr>
        <w:t xml:space="preserve">l referido préstamo corresponde 85% del Costo Global del proyecto cooperativo más una ampliación de préstamo de 8.5% del costo global del proyecto con una tasación total global de UR58.575; </w:t>
      </w:r>
    </w:p>
    <w:p w:rsidR="005B482F" w:rsidRDefault="00A41254" w:rsidP="00C86576">
      <w:pPr>
        <w:spacing w:line="360" w:lineRule="auto"/>
        <w:ind w:firstLine="2552"/>
        <w:jc w:val="both"/>
        <w:rPr>
          <w:lang w:val="es-MX"/>
        </w:rPr>
      </w:pPr>
      <w:r w:rsidRPr="00C86576">
        <w:rPr>
          <w:rFonts w:cs="Arial"/>
          <w:b/>
          <w:lang w:val="es-UY"/>
        </w:rPr>
        <w:t>2)</w:t>
      </w:r>
      <w:r>
        <w:rPr>
          <w:rFonts w:cs="Arial"/>
          <w:lang w:val="es-UY"/>
        </w:rPr>
        <w:t xml:space="preserve"> que del proyecto de Resolución ministerial surge que se ha aprobado la viabilidad del proyecto por la Agencia Nacional de Vivienda</w:t>
      </w:r>
      <w:r>
        <w:rPr>
          <w:lang w:val="es-MX"/>
        </w:rPr>
        <w:t xml:space="preserve"> para construir 44 viviendas económicas de interés social, para residencia permanente de los integrantes de la cooperativa, a realizarse en la ciudad de Montevideo,   </w:t>
      </w:r>
      <w:r w:rsidR="00C86576">
        <w:rPr>
          <w:lang w:val="es-MX"/>
        </w:rPr>
        <w:t>D</w:t>
      </w:r>
      <w:r>
        <w:rPr>
          <w:lang w:val="es-MX"/>
        </w:rPr>
        <w:t>epartamento de Montevideo;</w:t>
      </w:r>
    </w:p>
    <w:p w:rsidR="005B482F" w:rsidRDefault="00A41254" w:rsidP="00C86576">
      <w:pPr>
        <w:spacing w:line="360" w:lineRule="auto"/>
        <w:ind w:firstLine="2552"/>
        <w:jc w:val="both"/>
        <w:rPr>
          <w:lang w:val="es-MX"/>
        </w:rPr>
      </w:pPr>
      <w:r w:rsidRPr="00C86576">
        <w:rPr>
          <w:b/>
          <w:lang w:val="es-MX"/>
        </w:rPr>
        <w:t>3)</w:t>
      </w:r>
      <w:r>
        <w:rPr>
          <w:lang w:val="es-MX"/>
        </w:rPr>
        <w:t xml:space="preserve"> que la Agencia Nacional de Vivienda</w:t>
      </w:r>
      <w:bookmarkStart w:id="0" w:name="_GoBack"/>
      <w:bookmarkEnd w:id="0"/>
      <w:r>
        <w:rPr>
          <w:lang w:val="es-MX"/>
        </w:rPr>
        <w:t xml:space="preserve"> (ANV) ha establecido un cuadro de valores en función del proyecto cooperativo del que surge que el valor de tasación del proyecto es de UR51.425, correspondiendo a un 85% del mismo el préstamo del MVOTMA y a un 15% el aporte de la Cooperativa por concepto de ayuda mutua;</w:t>
      </w:r>
    </w:p>
    <w:p w:rsidR="005B482F" w:rsidRDefault="00A41254" w:rsidP="00C86576">
      <w:pPr>
        <w:spacing w:line="360" w:lineRule="auto"/>
        <w:ind w:firstLine="2552"/>
        <w:jc w:val="both"/>
        <w:rPr>
          <w:lang w:val="es-MX"/>
        </w:rPr>
      </w:pPr>
      <w:r w:rsidRPr="00C86576">
        <w:rPr>
          <w:b/>
          <w:lang w:val="es-MX"/>
        </w:rPr>
        <w:t>4)</w:t>
      </w:r>
      <w:r>
        <w:rPr>
          <w:lang w:val="es-MX"/>
        </w:rPr>
        <w:t xml:space="preserve"> que el costo del terreno asciende a UR4.137,56 que se abonará con cargo al préstamo a otorgarse simultáneamente con el otorgamiento de la escritura de préstamo hipotecario; </w:t>
      </w:r>
    </w:p>
    <w:p w:rsidR="005B482F" w:rsidRDefault="00A41254" w:rsidP="00F2311E">
      <w:pPr>
        <w:spacing w:line="360" w:lineRule="auto"/>
        <w:ind w:firstLine="2552"/>
        <w:jc w:val="both"/>
        <w:rPr>
          <w:lang w:val="es-MX"/>
        </w:rPr>
      </w:pPr>
      <w:r w:rsidRPr="00F2311E">
        <w:rPr>
          <w:b/>
          <w:lang w:val="es-MX"/>
        </w:rPr>
        <w:t>5)</w:t>
      </w:r>
      <w:r>
        <w:rPr>
          <w:lang w:val="es-MX"/>
        </w:rPr>
        <w:t xml:space="preserve"> que el monto total a escriturar asciende a UR47.730 y la previsión de desembolsos por ejercicios es la siguiente: año 2014 </w:t>
      </w:r>
      <w:r>
        <w:rPr>
          <w:lang w:val="es-MX"/>
        </w:rPr>
        <w:lastRenderedPageBreak/>
        <w:t>UR17.475, año 2015 UR29.381 y año 2016 UR874, agregándose proyecto de Resolución del Ministro de Viviendas, Ordenamiento Territorial y Medio Ambiente imputando el préstamo con cargo al Proyecto 704, del Programa 521 del que no resulta en la parte resolutoria los montos a intervenir;</w:t>
      </w:r>
    </w:p>
    <w:p w:rsidR="005B482F" w:rsidRDefault="00A41254" w:rsidP="00F2311E">
      <w:pPr>
        <w:spacing w:line="360" w:lineRule="auto"/>
        <w:ind w:firstLine="708"/>
        <w:jc w:val="both"/>
        <w:rPr>
          <w:rFonts w:cs="Arial"/>
          <w:szCs w:val="24"/>
          <w:lang w:val="es-UY"/>
        </w:rPr>
      </w:pPr>
      <w:r>
        <w:rPr>
          <w:rFonts w:cs="Arial"/>
          <w:b/>
          <w:szCs w:val="24"/>
          <w:lang w:val="es-UY"/>
        </w:rPr>
        <w:t>CONSIDERANDO:</w:t>
      </w:r>
      <w:r>
        <w:rPr>
          <w:rFonts w:cs="Arial"/>
          <w:szCs w:val="24"/>
          <w:lang w:val="es-UY"/>
        </w:rPr>
        <w:t xml:space="preserve">  que el procedimiento se ajusta a la normativa legal y a los cometidos de la Secretaría de Estado actuante;</w:t>
      </w:r>
    </w:p>
    <w:p w:rsidR="005B482F" w:rsidRDefault="00A41254" w:rsidP="00F2311E">
      <w:pPr>
        <w:spacing w:line="360" w:lineRule="auto"/>
        <w:ind w:firstLine="708"/>
        <w:jc w:val="both"/>
        <w:rPr>
          <w:rFonts w:cs="Arial"/>
          <w:szCs w:val="24"/>
          <w:lang w:val="es-UY"/>
        </w:rPr>
      </w:pPr>
      <w:r>
        <w:rPr>
          <w:rFonts w:cs="Arial"/>
          <w:b/>
          <w:szCs w:val="24"/>
          <w:lang w:val="es-UY"/>
        </w:rPr>
        <w:t>ATENTO:</w:t>
      </w:r>
      <w:r>
        <w:rPr>
          <w:rFonts w:cs="Arial"/>
          <w:szCs w:val="24"/>
          <w:lang w:val="es-UY"/>
        </w:rPr>
        <w:t xml:space="preserve"> a lo precedentemente expuesto y a lo que dispone el </w:t>
      </w:r>
      <w:r w:rsidR="00F2311E">
        <w:rPr>
          <w:rFonts w:cs="Arial"/>
          <w:szCs w:val="24"/>
          <w:lang w:val="es-UY"/>
        </w:rPr>
        <w:t>A</w:t>
      </w:r>
      <w:r>
        <w:rPr>
          <w:rFonts w:cs="Arial"/>
          <w:szCs w:val="24"/>
          <w:lang w:val="es-UY"/>
        </w:rPr>
        <w:t>rt</w:t>
      </w:r>
      <w:r w:rsidR="00F2311E">
        <w:rPr>
          <w:rFonts w:cs="Arial"/>
          <w:szCs w:val="24"/>
          <w:lang w:val="es-UY"/>
        </w:rPr>
        <w:t>ículo</w:t>
      </w:r>
      <w:r>
        <w:rPr>
          <w:rFonts w:cs="Arial"/>
          <w:szCs w:val="24"/>
          <w:lang w:val="es-UY"/>
        </w:rPr>
        <w:t xml:space="preserve"> 211 </w:t>
      </w:r>
      <w:r w:rsidR="00F2311E">
        <w:rPr>
          <w:rFonts w:cs="Arial"/>
          <w:szCs w:val="24"/>
          <w:lang w:val="es-UY"/>
        </w:rPr>
        <w:t>L</w:t>
      </w:r>
      <w:r>
        <w:rPr>
          <w:rFonts w:cs="Arial"/>
          <w:szCs w:val="24"/>
          <w:lang w:val="es-UY"/>
        </w:rPr>
        <w:t>it</w:t>
      </w:r>
      <w:r w:rsidR="00F2311E">
        <w:rPr>
          <w:rFonts w:cs="Arial"/>
          <w:szCs w:val="24"/>
          <w:lang w:val="es-UY"/>
        </w:rPr>
        <w:t>eral</w:t>
      </w:r>
      <w:r>
        <w:rPr>
          <w:rFonts w:cs="Arial"/>
          <w:szCs w:val="24"/>
          <w:lang w:val="es-UY"/>
        </w:rPr>
        <w:t xml:space="preserve"> B) de la Constitución</w:t>
      </w:r>
      <w:r w:rsidR="00F2311E">
        <w:rPr>
          <w:rFonts w:cs="Arial"/>
          <w:szCs w:val="24"/>
          <w:lang w:val="es-UY"/>
        </w:rPr>
        <w:t xml:space="preserve"> de la República;</w:t>
      </w:r>
    </w:p>
    <w:p w:rsidR="00F2311E" w:rsidRDefault="00F2311E" w:rsidP="00F2311E">
      <w:pPr>
        <w:spacing w:line="360" w:lineRule="auto"/>
        <w:jc w:val="center"/>
        <w:rPr>
          <w:rFonts w:cs="Arial"/>
          <w:b/>
          <w:szCs w:val="24"/>
          <w:lang w:val="es-UY"/>
        </w:rPr>
      </w:pPr>
      <w:r>
        <w:rPr>
          <w:rFonts w:cs="Arial"/>
          <w:b/>
          <w:szCs w:val="24"/>
          <w:lang w:val="es-UY"/>
        </w:rPr>
        <w:t>EL TRIBUNAL ACUERDA</w:t>
      </w:r>
    </w:p>
    <w:p w:rsidR="005B482F" w:rsidRPr="00F2311E" w:rsidRDefault="00F2311E" w:rsidP="00F2311E">
      <w:pPr>
        <w:spacing w:line="360" w:lineRule="auto"/>
        <w:ind w:left="284" w:hanging="284"/>
        <w:jc w:val="both"/>
        <w:rPr>
          <w:rFonts w:cs="Arial"/>
          <w:b/>
          <w:szCs w:val="24"/>
          <w:lang w:val="es-UY"/>
        </w:rPr>
      </w:pPr>
      <w:r w:rsidRPr="00F2311E">
        <w:rPr>
          <w:b/>
          <w:lang w:val="es-MX"/>
        </w:rPr>
        <w:t>1)</w:t>
      </w:r>
      <w:r w:rsidR="00A41254">
        <w:rPr>
          <w:lang w:val="es-MX"/>
        </w:rPr>
        <w:t>Dictada la Resolución por el Ordenador competente, con expresión del monto del gasto a intervenir en la parte resolutiva, cométese a</w:t>
      </w:r>
      <w:r w:rsidR="00B91331">
        <w:rPr>
          <w:lang w:val="es-MX"/>
        </w:rPr>
        <w:t xml:space="preserve"> </w:t>
      </w:r>
      <w:r w:rsidR="00A41254">
        <w:rPr>
          <w:lang w:val="es-MX"/>
        </w:rPr>
        <w:t>l</w:t>
      </w:r>
      <w:r w:rsidR="00B91331">
        <w:rPr>
          <w:lang w:val="es-MX"/>
        </w:rPr>
        <w:t>a</w:t>
      </w:r>
      <w:r w:rsidR="00A41254">
        <w:rPr>
          <w:lang w:val="es-MX"/>
        </w:rPr>
        <w:t xml:space="preserve"> Contador</w:t>
      </w:r>
      <w:r w:rsidR="00B91331">
        <w:rPr>
          <w:lang w:val="es-MX"/>
        </w:rPr>
        <w:t>a</w:t>
      </w:r>
      <w:r w:rsidR="00A41254">
        <w:rPr>
          <w:lang w:val="es-MX"/>
        </w:rPr>
        <w:t xml:space="preserve"> Auditor</w:t>
      </w:r>
      <w:r w:rsidR="00B91331">
        <w:rPr>
          <w:lang w:val="es-MX"/>
        </w:rPr>
        <w:t>a</w:t>
      </w:r>
      <w:r w:rsidR="00A41254">
        <w:rPr>
          <w:lang w:val="es-MX"/>
        </w:rPr>
        <w:t xml:space="preserve"> destacad</w:t>
      </w:r>
      <w:r w:rsidR="00B91331">
        <w:rPr>
          <w:lang w:val="es-MX"/>
        </w:rPr>
        <w:t>a</w:t>
      </w:r>
      <w:r w:rsidR="00A41254">
        <w:rPr>
          <w:lang w:val="es-MX"/>
        </w:rPr>
        <w:t xml:space="preserve"> </w:t>
      </w:r>
      <w:r w:rsidR="00B91331">
        <w:rPr>
          <w:lang w:val="es-MX"/>
        </w:rPr>
        <w:t>ante</w:t>
      </w:r>
      <w:r w:rsidR="00A41254">
        <w:rPr>
          <w:lang w:val="es-MX"/>
        </w:rPr>
        <w:t xml:space="preserve"> </w:t>
      </w:r>
      <w:r w:rsidR="00B91331">
        <w:rPr>
          <w:lang w:val="es-MX"/>
        </w:rPr>
        <w:t>e</w:t>
      </w:r>
      <w:r w:rsidR="00A41254">
        <w:rPr>
          <w:lang w:val="es-MX"/>
        </w:rPr>
        <w:t>l Ministerio de Vivienda, Ordenamiento Territorial y Medio Ambiente, la intervención del gasto de UR47.730, así como de la actualización que corresponda  realizar a la fecha de escritura del Préstamo, según fórmula de actualización establecida en el mismo;</w:t>
      </w:r>
    </w:p>
    <w:p w:rsidR="005A24AC" w:rsidRDefault="00F2311E" w:rsidP="005A24AC">
      <w:pPr>
        <w:spacing w:line="360" w:lineRule="auto"/>
        <w:ind w:left="284" w:hanging="284"/>
        <w:jc w:val="both"/>
        <w:rPr>
          <w:rFonts w:cs="Arial"/>
          <w:lang w:val="es-MX"/>
        </w:rPr>
      </w:pPr>
      <w:r w:rsidRPr="00F2311E">
        <w:rPr>
          <w:b/>
          <w:lang w:val="es-UY"/>
        </w:rPr>
        <w:t>2)</w:t>
      </w:r>
      <w:r>
        <w:rPr>
          <w:b/>
          <w:lang w:val="es-UY"/>
        </w:rPr>
        <w:t xml:space="preserve"> </w:t>
      </w:r>
      <w:r w:rsidR="00A41254">
        <w:rPr>
          <w:lang w:val="es-MX"/>
        </w:rPr>
        <w:t>Cométese asimismo a la Contadora Auditora, la intervención de las eventuales reprogramaciones por desembolsos fuera de plazo,  previo control que se impute al grupo adecuado con disponibilidad suficiente, así como el control de</w:t>
      </w:r>
      <w:r w:rsidR="00A41254">
        <w:rPr>
          <w:rFonts w:cs="Arial"/>
          <w:lang w:val="es-MX"/>
        </w:rPr>
        <w:t xml:space="preserve"> la verificación que la Resolución definitiva concuerde con las condiciones de contratación sometidas a este Tribunal (</w:t>
      </w:r>
      <w:r>
        <w:rPr>
          <w:rFonts w:cs="Arial"/>
          <w:lang w:val="es-MX"/>
        </w:rPr>
        <w:t>A</w:t>
      </w:r>
      <w:r w:rsidR="00A41254">
        <w:rPr>
          <w:rFonts w:cs="Arial"/>
          <w:lang w:val="es-MX"/>
        </w:rPr>
        <w:t>rtículo 8 de la Ordenanza 27 de fecha 22.05.1958 en la redacción sustitutiva dispuesta</w:t>
      </w:r>
      <w:r w:rsidR="005A24AC">
        <w:rPr>
          <w:rFonts w:cs="Arial"/>
          <w:lang w:val="es-MX"/>
        </w:rPr>
        <w:t>,</w:t>
      </w:r>
      <w:r w:rsidR="00A41254">
        <w:rPr>
          <w:rFonts w:cs="Arial"/>
          <w:lang w:val="es-MX"/>
        </w:rPr>
        <w:t xml:space="preserve"> </w:t>
      </w:r>
      <w:r w:rsidR="005A24AC">
        <w:rPr>
          <w:rFonts w:cs="Arial"/>
          <w:lang w:val="es-MX"/>
        </w:rPr>
        <w:t>Resolución de</w:t>
      </w:r>
      <w:r w:rsidR="00A41254">
        <w:rPr>
          <w:rFonts w:cs="Arial"/>
          <w:lang w:val="es-MX"/>
        </w:rPr>
        <w:t xml:space="preserve"> 16.06.2010)</w:t>
      </w:r>
      <w:r w:rsidR="005A24AC">
        <w:rPr>
          <w:rFonts w:cs="Arial"/>
          <w:lang w:val="es-MX"/>
        </w:rPr>
        <w:t>;</w:t>
      </w:r>
      <w:r w:rsidR="00A41254">
        <w:rPr>
          <w:rFonts w:cs="Arial"/>
          <w:lang w:val="es-MX"/>
        </w:rPr>
        <w:t xml:space="preserve"> </w:t>
      </w:r>
    </w:p>
    <w:p w:rsidR="005A24AC" w:rsidRDefault="005A24AC" w:rsidP="005A24AC">
      <w:pPr>
        <w:spacing w:line="360" w:lineRule="auto"/>
        <w:ind w:left="284" w:hanging="284"/>
        <w:jc w:val="both"/>
        <w:rPr>
          <w:rFonts w:cs="Arial"/>
          <w:lang w:val="es-MX"/>
        </w:rPr>
      </w:pPr>
      <w:r>
        <w:rPr>
          <w:b/>
          <w:lang w:val="es-MX"/>
        </w:rPr>
        <w:t xml:space="preserve">3) </w:t>
      </w:r>
      <w:r w:rsidR="00A41254">
        <w:rPr>
          <w:rFonts w:cs="Arial"/>
          <w:szCs w:val="24"/>
          <w:lang w:val="es-UY"/>
        </w:rPr>
        <w:t>Comuníquese a</w:t>
      </w:r>
      <w:r>
        <w:rPr>
          <w:rFonts w:cs="Arial"/>
          <w:szCs w:val="24"/>
          <w:lang w:val="es-UY"/>
        </w:rPr>
        <w:t xml:space="preserve"> </w:t>
      </w:r>
      <w:r w:rsidR="00A41254">
        <w:rPr>
          <w:rFonts w:cs="Arial"/>
          <w:szCs w:val="24"/>
          <w:lang w:val="es-UY"/>
        </w:rPr>
        <w:t>l</w:t>
      </w:r>
      <w:r>
        <w:rPr>
          <w:rFonts w:cs="Arial"/>
          <w:szCs w:val="24"/>
          <w:lang w:val="es-UY"/>
        </w:rPr>
        <w:t>a</w:t>
      </w:r>
      <w:r w:rsidR="00A41254">
        <w:rPr>
          <w:rFonts w:cs="Arial"/>
          <w:szCs w:val="24"/>
          <w:lang w:val="es-UY"/>
        </w:rPr>
        <w:t xml:space="preserve"> Contador</w:t>
      </w:r>
      <w:r>
        <w:rPr>
          <w:rFonts w:cs="Arial"/>
          <w:szCs w:val="24"/>
          <w:lang w:val="es-UY"/>
        </w:rPr>
        <w:t>a</w:t>
      </w:r>
      <w:r w:rsidR="00A41254">
        <w:rPr>
          <w:rFonts w:cs="Arial"/>
          <w:szCs w:val="24"/>
          <w:lang w:val="es-UY"/>
        </w:rPr>
        <w:t xml:space="preserve"> Auditor</w:t>
      </w:r>
      <w:r>
        <w:rPr>
          <w:rFonts w:cs="Arial"/>
          <w:szCs w:val="24"/>
          <w:lang w:val="es-UY"/>
        </w:rPr>
        <w:t>a; y</w:t>
      </w:r>
      <w:r w:rsidR="00A41254">
        <w:rPr>
          <w:rFonts w:cs="Arial"/>
          <w:szCs w:val="24"/>
          <w:lang w:val="es-UY"/>
        </w:rPr>
        <w:t xml:space="preserve"> </w:t>
      </w:r>
    </w:p>
    <w:p w:rsidR="005B482F" w:rsidRDefault="00A41254" w:rsidP="005A24AC">
      <w:pPr>
        <w:spacing w:line="360" w:lineRule="auto"/>
        <w:ind w:left="284" w:hanging="284"/>
        <w:jc w:val="both"/>
        <w:rPr>
          <w:rFonts w:cs="Arial"/>
          <w:szCs w:val="24"/>
          <w:lang w:val="es-UY"/>
        </w:rPr>
      </w:pPr>
      <w:r w:rsidRPr="005A24AC">
        <w:rPr>
          <w:rFonts w:cs="Arial"/>
          <w:b/>
          <w:szCs w:val="24"/>
          <w:lang w:val="es-UY"/>
        </w:rPr>
        <w:t>4)</w:t>
      </w:r>
      <w:r>
        <w:rPr>
          <w:rFonts w:cs="Arial"/>
          <w:szCs w:val="24"/>
          <w:lang w:val="es-UY"/>
        </w:rPr>
        <w:t xml:space="preserve"> Devuélvase.</w:t>
      </w:r>
    </w:p>
    <w:p w:rsidR="005A24AC" w:rsidRDefault="005A24AC" w:rsidP="005A24AC">
      <w:pPr>
        <w:spacing w:line="360" w:lineRule="auto"/>
        <w:ind w:left="284" w:hanging="284"/>
        <w:jc w:val="both"/>
        <w:rPr>
          <w:rFonts w:cs="Arial"/>
          <w:lang w:val="es-MX"/>
        </w:rPr>
      </w:pPr>
    </w:p>
    <w:p w:rsidR="005A24AC" w:rsidRDefault="005A24AC" w:rsidP="005A24AC">
      <w:pPr>
        <w:spacing w:line="360" w:lineRule="auto"/>
        <w:ind w:left="284" w:hanging="284"/>
        <w:jc w:val="both"/>
        <w:rPr>
          <w:rFonts w:cs="Arial"/>
          <w:lang w:val="es-MX"/>
        </w:rPr>
      </w:pPr>
    </w:p>
    <w:p w:rsidR="005A24AC" w:rsidRDefault="005A24AC" w:rsidP="005A24AC">
      <w:pPr>
        <w:spacing w:line="360" w:lineRule="auto"/>
        <w:ind w:left="284" w:hanging="284"/>
        <w:jc w:val="both"/>
        <w:rPr>
          <w:rFonts w:cs="Arial"/>
          <w:lang w:val="es-MX"/>
        </w:rPr>
      </w:pPr>
    </w:p>
    <w:p w:rsidR="005A24AC" w:rsidRDefault="005A24AC" w:rsidP="005A24AC">
      <w:pPr>
        <w:spacing w:line="360" w:lineRule="auto"/>
        <w:ind w:left="284" w:hanging="284"/>
        <w:jc w:val="both"/>
        <w:rPr>
          <w:rFonts w:cs="Arial"/>
          <w:lang w:val="es-MX"/>
        </w:rPr>
      </w:pPr>
    </w:p>
    <w:p w:rsidR="005A24AC" w:rsidRPr="005A24AC" w:rsidRDefault="005A24AC" w:rsidP="005A24AC">
      <w:pPr>
        <w:spacing w:line="360" w:lineRule="auto"/>
        <w:ind w:left="284" w:hanging="284"/>
        <w:jc w:val="both"/>
        <w:rPr>
          <w:rFonts w:cs="Arial"/>
          <w:lang w:val="es-MX"/>
        </w:rPr>
      </w:pPr>
      <w:r>
        <w:rPr>
          <w:rFonts w:cs="Arial"/>
          <w:lang w:val="es-MX"/>
        </w:rPr>
        <w:t>cr</w:t>
      </w:r>
    </w:p>
    <w:sectPr w:rsidR="005A24AC" w:rsidRPr="005A24AC" w:rsidSect="00F2311E">
      <w:footerReference w:type="even" r:id="rId8"/>
      <w:footerReference w:type="default" r:id="rId9"/>
      <w:pgSz w:w="11906" w:h="16838" w:code="9"/>
      <w:pgMar w:top="3402" w:right="1701" w:bottom="1418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482F" w:rsidRDefault="00A41254">
      <w:r>
        <w:separator/>
      </w:r>
    </w:p>
  </w:endnote>
  <w:endnote w:type="continuationSeparator" w:id="0">
    <w:p w:rsidR="005B482F" w:rsidRDefault="00A412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82F" w:rsidRDefault="00A41254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5B482F" w:rsidRDefault="005B482F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82F" w:rsidRDefault="00A41254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6733D9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5B482F" w:rsidRDefault="005B482F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482F" w:rsidRDefault="00A41254">
      <w:r>
        <w:separator/>
      </w:r>
    </w:p>
  </w:footnote>
  <w:footnote w:type="continuationSeparator" w:id="0">
    <w:p w:rsidR="005B482F" w:rsidRDefault="00A412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99242B"/>
    <w:multiLevelType w:val="hybridMultilevel"/>
    <w:tmpl w:val="3CD048EE"/>
    <w:lvl w:ilvl="0" w:tplc="90CED19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Arial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6576"/>
    <w:rsid w:val="005A24AC"/>
    <w:rsid w:val="005B482F"/>
    <w:rsid w:val="006733D9"/>
    <w:rsid w:val="00A41254"/>
    <w:rsid w:val="00B91331"/>
    <w:rsid w:val="00C86576"/>
    <w:rsid w:val="00F23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UY" w:eastAsia="es-UY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/>
      <w:color w:val="000000"/>
      <w:sz w:val="24"/>
      <w:lang w:val="es-ES" w:eastAsia="es-ES"/>
    </w:rPr>
  </w:style>
  <w:style w:type="paragraph" w:styleId="Ttulo1">
    <w:name w:val="heading 1"/>
    <w:basedOn w:val="Normal"/>
    <w:next w:val="Normal"/>
    <w:qFormat/>
    <w:pPr>
      <w:keepNext/>
      <w:spacing w:line="360" w:lineRule="auto"/>
      <w:jc w:val="both"/>
      <w:outlineLvl w:val="0"/>
    </w:pPr>
    <w:rPr>
      <w:rFonts w:ascii="Bookman Old Style" w:hAnsi="Bookman Old Style"/>
      <w:b/>
      <w:lang w:val="es-MX"/>
    </w:rPr>
  </w:style>
  <w:style w:type="paragraph" w:styleId="Ttulo2">
    <w:name w:val="heading 2"/>
    <w:basedOn w:val="Normal"/>
    <w:next w:val="Normal"/>
    <w:qFormat/>
    <w:pPr>
      <w:keepNext/>
      <w:spacing w:line="360" w:lineRule="auto"/>
      <w:jc w:val="center"/>
      <w:outlineLvl w:val="1"/>
    </w:pPr>
    <w:rPr>
      <w:rFonts w:ascii="Bookman Old Style" w:hAnsi="Bookman Old Style"/>
      <w:b/>
      <w:u w:val="single"/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semiHidden/>
    <w:pPr>
      <w:spacing w:line="360" w:lineRule="auto"/>
      <w:jc w:val="both"/>
    </w:pPr>
    <w:rPr>
      <w:rFonts w:ascii="Bookman Old Style" w:hAnsi="Bookman Old Style"/>
      <w:lang w:val="es-MX"/>
    </w:rPr>
  </w:style>
  <w:style w:type="paragraph" w:styleId="Piedepgina">
    <w:name w:val="footer"/>
    <w:basedOn w:val="Normal"/>
    <w:semiHidden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semiHidden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UY" w:eastAsia="es-UY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/>
      <w:color w:val="000000"/>
      <w:sz w:val="24"/>
      <w:lang w:val="es-ES" w:eastAsia="es-ES"/>
    </w:rPr>
  </w:style>
  <w:style w:type="paragraph" w:styleId="Ttulo1">
    <w:name w:val="heading 1"/>
    <w:basedOn w:val="Normal"/>
    <w:next w:val="Normal"/>
    <w:qFormat/>
    <w:pPr>
      <w:keepNext/>
      <w:spacing w:line="360" w:lineRule="auto"/>
      <w:jc w:val="both"/>
      <w:outlineLvl w:val="0"/>
    </w:pPr>
    <w:rPr>
      <w:rFonts w:ascii="Bookman Old Style" w:hAnsi="Bookman Old Style"/>
      <w:b/>
      <w:lang w:val="es-MX"/>
    </w:rPr>
  </w:style>
  <w:style w:type="paragraph" w:styleId="Ttulo2">
    <w:name w:val="heading 2"/>
    <w:basedOn w:val="Normal"/>
    <w:next w:val="Normal"/>
    <w:qFormat/>
    <w:pPr>
      <w:keepNext/>
      <w:spacing w:line="360" w:lineRule="auto"/>
      <w:jc w:val="center"/>
      <w:outlineLvl w:val="1"/>
    </w:pPr>
    <w:rPr>
      <w:rFonts w:ascii="Bookman Old Style" w:hAnsi="Bookman Old Style"/>
      <w:b/>
      <w:u w:val="single"/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semiHidden/>
    <w:pPr>
      <w:spacing w:line="360" w:lineRule="auto"/>
      <w:jc w:val="both"/>
    </w:pPr>
    <w:rPr>
      <w:rFonts w:ascii="Bookman Old Style" w:hAnsi="Bookman Old Style"/>
      <w:lang w:val="es-MX"/>
    </w:rPr>
  </w:style>
  <w:style w:type="paragraph" w:styleId="Piedepgina">
    <w:name w:val="footer"/>
    <w:basedOn w:val="Normal"/>
    <w:semiHidden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488</Words>
  <Characters>2640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REMISION DE COPIAS DE RESOLUCIONES</vt:lpstr>
    </vt:vector>
  </TitlesOfParts>
  <Company>TRIBUNAL DE CUENTAS</Company>
  <LinksUpToDate>false</LinksUpToDate>
  <CharactersWithSpaces>3122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REMISION DE COPIAS DE RESOLUCIONES</dc:title>
  <dc:subject/>
  <dc:creator>TRIBUNAL DE CUENTAS</dc:creator>
  <cp:keywords/>
  <cp:lastModifiedBy>Miriam Cristina Rivero</cp:lastModifiedBy>
  <cp:revision>2</cp:revision>
  <cp:lastPrinted>2013-12-31T11:44:00Z</cp:lastPrinted>
  <dcterms:created xsi:type="dcterms:W3CDTF">2013-12-31T11:45:00Z</dcterms:created>
  <dcterms:modified xsi:type="dcterms:W3CDTF">2013-12-31T11:45:00Z</dcterms:modified>
</cp:coreProperties>
</file>