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6F" w:rsidRDefault="005F086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5F086F" w:rsidRDefault="005F086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F086F" w:rsidRDefault="005F086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F086F" w:rsidRDefault="005F086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F086F" w:rsidRDefault="005F086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5F086F" w:rsidRDefault="005F086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F086F" w:rsidRDefault="005F086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2013-17-1-0006392,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 xml:space="preserve">. </w:t>
      </w:r>
      <w:proofErr w:type="gramStart"/>
      <w:r>
        <w:rPr>
          <w:rFonts w:ascii="Helvetica" w:hAnsi="Helvetica"/>
          <w:b/>
          <w:lang w:val="en-US"/>
        </w:rPr>
        <w:t>N° 6968/13.)</w:t>
      </w:r>
      <w:proofErr w:type="gramEnd"/>
    </w:p>
    <w:p w:rsidR="005F086F" w:rsidRDefault="005F086F">
      <w:pPr>
        <w:tabs>
          <w:tab w:val="center" w:pos="4253"/>
        </w:tabs>
        <w:suppressAutoHyphens/>
        <w:jc w:val="center"/>
        <w:rPr>
          <w:spacing w:val="-3"/>
          <w:lang w:val="en-US"/>
        </w:rPr>
      </w:pPr>
    </w:p>
    <w:p w:rsidR="00D63ABA" w:rsidRDefault="00D63ABA">
      <w:pPr>
        <w:pStyle w:val="Textoindependiente"/>
        <w:jc w:val="center"/>
        <w:rPr>
          <w:b/>
          <w:bCs/>
          <w:i/>
          <w:iCs/>
        </w:rPr>
      </w:pPr>
    </w:p>
    <w:p w:rsidR="00D63ABA" w:rsidRDefault="00D63ABA" w:rsidP="0001734E">
      <w:pPr>
        <w:spacing w:line="360" w:lineRule="auto"/>
        <w:jc w:val="both"/>
        <w:rPr>
          <w:b/>
          <w:u w:val="single"/>
        </w:rPr>
      </w:pPr>
      <w:r>
        <w:t xml:space="preserve">      </w:t>
      </w:r>
      <w:r>
        <w:tab/>
      </w:r>
      <w:r w:rsidR="0001734E" w:rsidRPr="0001734E">
        <w:rPr>
          <w:b/>
        </w:rPr>
        <w:t>VISTO:</w:t>
      </w:r>
      <w:r w:rsidR="0001734E">
        <w:t xml:space="preserve"> los </w:t>
      </w:r>
      <w:r w:rsidR="0013662E">
        <w:t xml:space="preserve">nuevos </w:t>
      </w:r>
      <w:r w:rsidR="0001734E">
        <w:t>obrados remitidos por e</w:t>
      </w:r>
      <w:r>
        <w:t xml:space="preserve">l </w:t>
      </w:r>
      <w:r w:rsidR="00442536">
        <w:t>Instituto del Niño y Adolescente del Uruguay</w:t>
      </w:r>
      <w:r w:rsidR="00F5382F">
        <w:t xml:space="preserve"> (INAU)</w:t>
      </w:r>
      <w:r>
        <w:t xml:space="preserve"> relativ</w:t>
      </w:r>
      <w:r w:rsidR="00E66DF1">
        <w:t>o</w:t>
      </w:r>
      <w:r>
        <w:t xml:space="preserve">s a la contratación directa para </w:t>
      </w:r>
      <w:r w:rsidR="00442536">
        <w:t xml:space="preserve">la realización de obras para la reforma y reconstrucción del edificio </w:t>
      </w:r>
      <w:smartTag w:uri="urn:schemas-microsoft-com:office:smarttags" w:element="PersonName">
        <w:smartTagPr>
          <w:attr w:name="ProductID" w:val="La Tablada"/>
        </w:smartTagPr>
        <w:r w:rsidR="00442536">
          <w:t>La Tablada</w:t>
        </w:r>
      </w:smartTag>
      <w:r w:rsidR="00442536">
        <w:t xml:space="preserve">, </w:t>
      </w:r>
      <w:r w:rsidR="00953321">
        <w:t>adecuándolo como</w:t>
      </w:r>
      <w:r w:rsidR="00442536">
        <w:t xml:space="preserve"> centro para la rehabilitación de adolescentes</w:t>
      </w:r>
      <w:r>
        <w:t>,</w:t>
      </w:r>
      <w:r w:rsidR="00442536">
        <w:t xml:space="preserve"> </w:t>
      </w:r>
      <w:r>
        <w:t xml:space="preserve">al amparo del </w:t>
      </w:r>
      <w:r w:rsidR="005F086F">
        <w:t>N</w:t>
      </w:r>
      <w:r>
        <w:t>umeral 9</w:t>
      </w:r>
      <w:r w:rsidR="005F086F">
        <w:t>)</w:t>
      </w:r>
      <w:r>
        <w:t xml:space="preserve"> del </w:t>
      </w:r>
      <w:r w:rsidR="005F086F">
        <w:t>L</w:t>
      </w:r>
      <w:r>
        <w:t xml:space="preserve">iteral </w:t>
      </w:r>
      <w:r w:rsidR="005F086F">
        <w:t>C</w:t>
      </w:r>
      <w:r>
        <w:t xml:space="preserve">) del </w:t>
      </w:r>
      <w:r w:rsidR="005F086F">
        <w:t>I</w:t>
      </w:r>
      <w:r>
        <w:t>nciso 2</w:t>
      </w:r>
      <w:r w:rsidR="005F086F">
        <w:t>)</w:t>
      </w:r>
      <w:r>
        <w:t xml:space="preserve"> del </w:t>
      </w:r>
      <w:r w:rsidR="005F086F">
        <w:t>A</w:t>
      </w:r>
      <w:r>
        <w:t>rtículo 33 del TOCAF</w:t>
      </w:r>
      <w:r w:rsidR="0001734E">
        <w:t>;</w:t>
      </w:r>
      <w:r w:rsidR="00E80EF6">
        <w:tab/>
      </w:r>
    </w:p>
    <w:p w:rsidR="00AB4448" w:rsidRDefault="00E80EF6" w:rsidP="008D4D01">
      <w:pPr>
        <w:spacing w:line="360" w:lineRule="auto"/>
        <w:jc w:val="both"/>
        <w:rPr>
          <w:bCs/>
          <w:lang w:val="es-ES_tradnl"/>
        </w:rPr>
      </w:pPr>
      <w:r>
        <w:rPr>
          <w:lang w:val="es-ES_tradnl"/>
        </w:rPr>
        <w:tab/>
      </w:r>
      <w:r w:rsidR="0001734E" w:rsidRPr="0001734E">
        <w:rPr>
          <w:b/>
          <w:lang w:val="es-ES_tradnl"/>
        </w:rPr>
        <w:t>RESULTANDO:</w:t>
      </w:r>
      <w:r w:rsidR="008D4D01">
        <w:rPr>
          <w:b/>
          <w:lang w:val="es-ES_tradnl"/>
        </w:rPr>
        <w:t xml:space="preserve"> 1) </w:t>
      </w:r>
      <w:r>
        <w:rPr>
          <w:bCs/>
          <w:lang w:val="es-ES_tradnl"/>
        </w:rPr>
        <w:tab/>
      </w:r>
      <w:r w:rsidR="008D4D01">
        <w:rPr>
          <w:bCs/>
          <w:lang w:val="es-ES_tradnl"/>
        </w:rPr>
        <w:t>que p</w:t>
      </w:r>
      <w:r>
        <w:rPr>
          <w:bCs/>
          <w:lang w:val="es-ES_tradnl"/>
        </w:rPr>
        <w:t>or</w:t>
      </w:r>
      <w:r w:rsidR="00AB4448">
        <w:rPr>
          <w:bCs/>
          <w:lang w:val="es-ES_tradnl"/>
        </w:rPr>
        <w:t xml:space="preserve"> Resolución Nº 3344/013 de fecha 3.10.2013 del Directorio del INAU, </w:t>
      </w:r>
      <w:r>
        <w:rPr>
          <w:bCs/>
          <w:lang w:val="es-ES_tradnl"/>
        </w:rPr>
        <w:t>se dispuso</w:t>
      </w:r>
      <w:r w:rsidR="00AB4448">
        <w:rPr>
          <w:bCs/>
          <w:lang w:val="es-ES_tradnl"/>
        </w:rPr>
        <w:t xml:space="preserve">, al amparo de lo preceptuado por el </w:t>
      </w:r>
      <w:r w:rsidR="008D4D01">
        <w:rPr>
          <w:bCs/>
          <w:lang w:val="es-ES_tradnl"/>
        </w:rPr>
        <w:t xml:space="preserve">artículo </w:t>
      </w:r>
      <w:r w:rsidR="00AB4448">
        <w:rPr>
          <w:bCs/>
          <w:lang w:val="es-ES_tradnl"/>
        </w:rPr>
        <w:t xml:space="preserve">Art. 33, </w:t>
      </w:r>
      <w:r w:rsidR="005F086F">
        <w:rPr>
          <w:bCs/>
          <w:lang w:val="es-ES_tradnl"/>
        </w:rPr>
        <w:t>I</w:t>
      </w:r>
      <w:r w:rsidR="00AB4448">
        <w:rPr>
          <w:bCs/>
          <w:lang w:val="es-ES_tradnl"/>
        </w:rPr>
        <w:t>nciso 2</w:t>
      </w:r>
      <w:r w:rsidR="005F086F">
        <w:rPr>
          <w:bCs/>
          <w:lang w:val="es-ES_tradnl"/>
        </w:rPr>
        <w:t>)</w:t>
      </w:r>
      <w:r w:rsidR="00AB4448">
        <w:rPr>
          <w:bCs/>
          <w:lang w:val="es-ES_tradnl"/>
        </w:rPr>
        <w:t xml:space="preserve"> </w:t>
      </w:r>
      <w:r w:rsidR="005F086F">
        <w:rPr>
          <w:bCs/>
          <w:lang w:val="es-ES_tradnl"/>
        </w:rPr>
        <w:t>L</w:t>
      </w:r>
      <w:r>
        <w:rPr>
          <w:bCs/>
          <w:lang w:val="es-ES_tradnl"/>
        </w:rPr>
        <w:t xml:space="preserve">iteral C) </w:t>
      </w:r>
      <w:r w:rsidR="005F086F">
        <w:rPr>
          <w:bCs/>
          <w:lang w:val="es-ES_tradnl"/>
        </w:rPr>
        <w:t>N</w:t>
      </w:r>
      <w:r>
        <w:rPr>
          <w:bCs/>
          <w:lang w:val="es-ES_tradnl"/>
        </w:rPr>
        <w:t>umeral 9) del TOCAF</w:t>
      </w:r>
      <w:r w:rsidR="00AB4448">
        <w:rPr>
          <w:bCs/>
          <w:lang w:val="es-ES_tradnl"/>
        </w:rPr>
        <w:t xml:space="preserve"> y en los términos previstos por los Decretos Nº 90/000; 319/011 y 326/012, </w:t>
      </w:r>
      <w:r>
        <w:rPr>
          <w:bCs/>
          <w:lang w:val="es-ES_tradnl"/>
        </w:rPr>
        <w:t xml:space="preserve">contratar en forma directa </w:t>
      </w:r>
      <w:r w:rsidR="00AB4448">
        <w:rPr>
          <w:bCs/>
          <w:lang w:val="es-ES_tradnl"/>
        </w:rPr>
        <w:t xml:space="preserve">con la firma Medina &amp; </w:t>
      </w:r>
      <w:proofErr w:type="spellStart"/>
      <w:r w:rsidR="00AB4448">
        <w:rPr>
          <w:bCs/>
          <w:lang w:val="es-ES_tradnl"/>
        </w:rPr>
        <w:t>Possamai</w:t>
      </w:r>
      <w:proofErr w:type="spellEnd"/>
      <w:r w:rsidR="00AB4448">
        <w:rPr>
          <w:bCs/>
          <w:lang w:val="es-ES_tradnl"/>
        </w:rPr>
        <w:t xml:space="preserve"> Ltda.</w:t>
      </w:r>
      <w:r>
        <w:rPr>
          <w:bCs/>
          <w:lang w:val="es-ES_tradnl"/>
        </w:rPr>
        <w:t>,</w:t>
      </w:r>
      <w:r w:rsidR="00AB4448">
        <w:rPr>
          <w:bCs/>
          <w:lang w:val="es-ES_tradnl"/>
        </w:rPr>
        <w:t xml:space="preserve"> </w:t>
      </w:r>
      <w:r w:rsidR="00614805">
        <w:rPr>
          <w:bCs/>
          <w:lang w:val="es-ES_tradnl"/>
        </w:rPr>
        <w:t>p</w:t>
      </w:r>
      <w:r w:rsidR="00AB4448">
        <w:rPr>
          <w:bCs/>
          <w:lang w:val="es-ES_tradnl"/>
        </w:rPr>
        <w:t xml:space="preserve">ara la reconstrucción del edificio </w:t>
      </w:r>
      <w:r w:rsidR="000A14AF">
        <w:rPr>
          <w:bCs/>
          <w:lang w:val="es-ES_tradnl"/>
        </w:rPr>
        <w:t>“</w:t>
      </w:r>
      <w:smartTag w:uri="urn:schemas-microsoft-com:office:smarttags" w:element="PersonName">
        <w:smartTagPr>
          <w:attr w:name="ProductID" w:val="La Tablada"/>
        </w:smartTagPr>
        <w:r w:rsidR="00AB4448">
          <w:rPr>
            <w:bCs/>
            <w:lang w:val="es-ES_tradnl"/>
          </w:rPr>
          <w:t>La Tablada</w:t>
        </w:r>
      </w:smartTag>
      <w:r w:rsidR="000A14AF">
        <w:rPr>
          <w:bCs/>
          <w:lang w:val="es-ES_tradnl"/>
        </w:rPr>
        <w:t>”</w:t>
      </w:r>
      <w:r w:rsidR="00AB4448">
        <w:rPr>
          <w:bCs/>
          <w:lang w:val="es-ES_tradnl"/>
        </w:rPr>
        <w:t xml:space="preserve">, para su adaptación como Centro de Rehabilitación e Internación de adolescentes en Infracción, por la suma de </w:t>
      </w:r>
      <w:r w:rsidR="008B7111">
        <w:rPr>
          <w:bCs/>
          <w:lang w:val="es-ES_tradnl"/>
        </w:rPr>
        <w:t>$ 81:</w:t>
      </w:r>
      <w:r w:rsidR="00AB4448">
        <w:rPr>
          <w:bCs/>
          <w:lang w:val="es-ES_tradnl"/>
        </w:rPr>
        <w:t xml:space="preserve">616.237 impuestos y leyes sociales incluidos, con ajustes de precio según la variación del Índice del Costo de </w:t>
      </w:r>
      <w:smartTag w:uri="urn:schemas-microsoft-com:office:smarttags" w:element="PersonName">
        <w:smartTagPr>
          <w:attr w:name="ProductID" w:val="la Construcci￳n"/>
        </w:smartTagPr>
        <w:r w:rsidR="00AB4448">
          <w:rPr>
            <w:bCs/>
            <w:lang w:val="es-ES_tradnl"/>
          </w:rPr>
          <w:t>la Construcción</w:t>
        </w:r>
      </w:smartTag>
      <w:r w:rsidR="00BA453D">
        <w:rPr>
          <w:bCs/>
          <w:lang w:val="es-ES_tradnl"/>
        </w:rPr>
        <w:t>;</w:t>
      </w:r>
      <w:r w:rsidR="00AB4448">
        <w:rPr>
          <w:bCs/>
          <w:lang w:val="es-ES_tradnl"/>
        </w:rPr>
        <w:t xml:space="preserve">  </w:t>
      </w:r>
    </w:p>
    <w:p w:rsidR="00BA453D" w:rsidRDefault="00BA453D" w:rsidP="005F086F">
      <w:pPr>
        <w:spacing w:line="360" w:lineRule="auto"/>
        <w:ind w:firstLine="2552"/>
        <w:jc w:val="both"/>
        <w:rPr>
          <w:bCs/>
          <w:lang w:val="es-ES_tradnl"/>
        </w:rPr>
      </w:pPr>
      <w:r>
        <w:rPr>
          <w:b/>
          <w:bCs/>
          <w:lang w:val="es-ES_tradnl"/>
        </w:rPr>
        <w:t xml:space="preserve">2) </w:t>
      </w:r>
      <w:r>
        <w:rPr>
          <w:bCs/>
          <w:lang w:val="es-ES_tradnl"/>
        </w:rPr>
        <w:t>que es</w:t>
      </w:r>
      <w:r w:rsidR="00E80EF6">
        <w:rPr>
          <w:bCs/>
          <w:lang w:val="es-ES_tradnl"/>
        </w:rPr>
        <w:t xml:space="preserve">te Tribunal en </w:t>
      </w:r>
      <w:r w:rsidR="005F086F">
        <w:rPr>
          <w:bCs/>
          <w:lang w:val="es-ES_tradnl"/>
        </w:rPr>
        <w:t>S</w:t>
      </w:r>
      <w:r w:rsidR="00E80EF6">
        <w:rPr>
          <w:bCs/>
          <w:lang w:val="es-ES_tradnl"/>
        </w:rPr>
        <w:t xml:space="preserve">esión de fecha 30.10.2013, acordó observar el gasto, en virtud </w:t>
      </w:r>
      <w:r>
        <w:rPr>
          <w:bCs/>
          <w:lang w:val="es-ES_tradnl"/>
        </w:rPr>
        <w:t xml:space="preserve">de </w:t>
      </w:r>
      <w:r w:rsidR="00E80EF6">
        <w:rPr>
          <w:bCs/>
          <w:lang w:val="es-ES_tradnl"/>
        </w:rPr>
        <w:t xml:space="preserve">que: </w:t>
      </w:r>
    </w:p>
    <w:p w:rsidR="00E80EF6" w:rsidRDefault="00E80EF6" w:rsidP="00F9136C">
      <w:pPr>
        <w:spacing w:line="360" w:lineRule="auto"/>
        <w:ind w:left="426" w:hanging="426"/>
        <w:jc w:val="both"/>
        <w:rPr>
          <w:bCs/>
          <w:lang w:val="es-ES_tradnl"/>
        </w:rPr>
      </w:pPr>
      <w:r w:rsidRPr="00BA453D">
        <w:rPr>
          <w:b/>
          <w:bCs/>
          <w:lang w:val="es-ES_tradnl"/>
        </w:rPr>
        <w:t>2.1)</w:t>
      </w:r>
      <w:r w:rsidRPr="005B0157">
        <w:rPr>
          <w:b/>
          <w:lang w:val="es-UY"/>
        </w:rPr>
        <w:t xml:space="preserve"> </w:t>
      </w:r>
      <w:r w:rsidRPr="005B0157">
        <w:rPr>
          <w:bCs/>
          <w:lang w:val="es-UY"/>
        </w:rPr>
        <w:t xml:space="preserve"> </w:t>
      </w:r>
      <w:r>
        <w:rPr>
          <w:bCs/>
          <w:lang w:val="es-ES_tradnl"/>
        </w:rPr>
        <w:t>si bien consta</w:t>
      </w:r>
      <w:r w:rsidR="00876CC5">
        <w:rPr>
          <w:bCs/>
          <w:lang w:val="es-ES_tradnl"/>
        </w:rPr>
        <w:t>ba</w:t>
      </w:r>
      <w:r>
        <w:rPr>
          <w:bCs/>
          <w:lang w:val="es-ES_tradnl"/>
        </w:rPr>
        <w:t xml:space="preserve"> la certificación del MEF</w:t>
      </w:r>
      <w:r w:rsidRPr="00A54009">
        <w:t xml:space="preserve"> </w:t>
      </w:r>
      <w:r w:rsidR="00F9136C">
        <w:t>requerida en el A</w:t>
      </w:r>
      <w:r>
        <w:t xml:space="preserve">rtículo 738 de </w:t>
      </w:r>
      <w:smartTag w:uri="urn:schemas-microsoft-com:office:smarttags" w:element="PersonName">
        <w:smartTagPr>
          <w:attr w:name="ProductID" w:val="la Ley"/>
        </w:smartTagPr>
        <w:r>
          <w:t>la Ley</w:t>
        </w:r>
      </w:smartTag>
      <w:r>
        <w:t xml:space="preserve"> 16.736,</w:t>
      </w:r>
      <w:r>
        <w:rPr>
          <w:bCs/>
          <w:lang w:val="es-ES_tradnl"/>
        </w:rPr>
        <w:t xml:space="preserve"> no consta</w:t>
      </w:r>
      <w:r w:rsidR="00876CC5">
        <w:rPr>
          <w:bCs/>
          <w:lang w:val="es-ES_tradnl"/>
        </w:rPr>
        <w:t>ba</w:t>
      </w:r>
      <w:r>
        <w:rPr>
          <w:bCs/>
          <w:lang w:val="es-ES_tradnl"/>
        </w:rPr>
        <w:t>n elementos que justifi</w:t>
      </w:r>
      <w:r w:rsidR="00876CC5">
        <w:rPr>
          <w:bCs/>
          <w:lang w:val="es-ES_tradnl"/>
        </w:rPr>
        <w:t>caran</w:t>
      </w:r>
      <w:r>
        <w:rPr>
          <w:bCs/>
          <w:lang w:val="es-ES_tradnl"/>
        </w:rPr>
        <w:t xml:space="preserve"> la configuración de la causal aducida;</w:t>
      </w:r>
    </w:p>
    <w:p w:rsidR="00E80EF6" w:rsidRDefault="00E80EF6" w:rsidP="00F9136C">
      <w:pPr>
        <w:spacing w:line="360" w:lineRule="auto"/>
        <w:ind w:left="426" w:hanging="426"/>
        <w:jc w:val="both"/>
        <w:rPr>
          <w:bCs/>
          <w:lang w:val="es-ES_tradnl"/>
        </w:rPr>
      </w:pPr>
      <w:r w:rsidRPr="00BA453D">
        <w:rPr>
          <w:b/>
          <w:bCs/>
          <w:lang w:val="es-ES_tradnl"/>
        </w:rPr>
        <w:t>2.2)</w:t>
      </w:r>
      <w:r>
        <w:rPr>
          <w:bCs/>
          <w:lang w:val="es-ES_tradnl"/>
        </w:rPr>
        <w:t xml:space="preserve"> la administración contratante no </w:t>
      </w:r>
      <w:r w:rsidR="00876CC5">
        <w:rPr>
          <w:bCs/>
          <w:lang w:val="es-ES_tradnl"/>
        </w:rPr>
        <w:t xml:space="preserve">había </w:t>
      </w:r>
      <w:r>
        <w:rPr>
          <w:bCs/>
          <w:lang w:val="es-ES_tradnl"/>
        </w:rPr>
        <w:t>expresa</w:t>
      </w:r>
      <w:r w:rsidR="00876CC5">
        <w:rPr>
          <w:bCs/>
          <w:lang w:val="es-ES_tradnl"/>
        </w:rPr>
        <w:t>do</w:t>
      </w:r>
      <w:r>
        <w:rPr>
          <w:bCs/>
          <w:lang w:val="es-ES_tradnl"/>
        </w:rPr>
        <w:t xml:space="preserve"> el motivo de urgencia no previsible o la imposibilidad de realizar una Licitación, ni que la realización de la misma resint</w:t>
      </w:r>
      <w:r w:rsidR="00876CC5">
        <w:rPr>
          <w:bCs/>
          <w:lang w:val="es-ES_tradnl"/>
        </w:rPr>
        <w:t>ier</w:t>
      </w:r>
      <w:r>
        <w:rPr>
          <w:bCs/>
          <w:lang w:val="es-ES_tradnl"/>
        </w:rPr>
        <w:t>a seriamente el servicio; y</w:t>
      </w:r>
    </w:p>
    <w:p w:rsidR="00E80EF6" w:rsidRPr="005B0157" w:rsidRDefault="00E80EF6" w:rsidP="00F9136C">
      <w:pPr>
        <w:spacing w:line="360" w:lineRule="auto"/>
        <w:ind w:left="567" w:hanging="567"/>
        <w:jc w:val="both"/>
        <w:rPr>
          <w:spacing w:val="-3"/>
          <w:lang w:val="es-ES_tradnl"/>
        </w:rPr>
      </w:pPr>
      <w:r w:rsidRPr="00BA453D">
        <w:rPr>
          <w:b/>
          <w:bCs/>
          <w:lang w:val="es-ES_tradnl"/>
        </w:rPr>
        <w:lastRenderedPageBreak/>
        <w:t>2.3)</w:t>
      </w:r>
      <w:r>
        <w:rPr>
          <w:bCs/>
          <w:lang w:val="es-ES_tradnl"/>
        </w:rPr>
        <w:t xml:space="preserve">  sin perjuicio de la debida motivación de los actos administrativos (</w:t>
      </w:r>
      <w:r w:rsidR="00F9136C">
        <w:rPr>
          <w:bCs/>
          <w:lang w:val="es-ES_tradnl"/>
        </w:rPr>
        <w:t>A</w:t>
      </w:r>
      <w:r>
        <w:rPr>
          <w:bCs/>
          <w:lang w:val="es-ES_tradnl"/>
        </w:rPr>
        <w:t>rtículo 123 Decreto 500), la ausencia de la misma en estos obrados adqui</w:t>
      </w:r>
      <w:r w:rsidR="00876CC5">
        <w:rPr>
          <w:bCs/>
          <w:lang w:val="es-ES_tradnl"/>
        </w:rPr>
        <w:t>ría</w:t>
      </w:r>
      <w:r>
        <w:rPr>
          <w:bCs/>
          <w:lang w:val="es-ES_tradnl"/>
        </w:rPr>
        <w:t xml:space="preserve"> especial significación por cuanto el </w:t>
      </w:r>
      <w:r w:rsidR="00F9136C">
        <w:rPr>
          <w:bCs/>
          <w:lang w:val="es-ES_tradnl"/>
        </w:rPr>
        <w:t>A</w:t>
      </w:r>
      <w:r>
        <w:rPr>
          <w:bCs/>
          <w:lang w:val="es-ES_tradnl"/>
        </w:rPr>
        <w:t>rtículo 157 del TOCAF preceptúa que:</w:t>
      </w:r>
      <w:r w:rsidRPr="00492322">
        <w:rPr>
          <w:bCs/>
          <w:lang w:val="es-ES_tradnl"/>
        </w:rPr>
        <w:t xml:space="preserve"> “cuando se invoquen causales de urgencia o imprevistos de carácter excepcional deberán fundarse adecuadamente, y en el primer caso, informar sobre la imposibilidad de la previsión en el tiempo”</w:t>
      </w:r>
      <w:r w:rsidRPr="005B0157">
        <w:t>;</w:t>
      </w:r>
      <w:r w:rsidRPr="005B0157">
        <w:tab/>
      </w:r>
      <w:r w:rsidRPr="005B0157">
        <w:tab/>
      </w:r>
    </w:p>
    <w:p w:rsidR="00036DEA" w:rsidRDefault="00273377" w:rsidP="00F9136C">
      <w:pPr>
        <w:spacing w:line="360" w:lineRule="auto"/>
        <w:ind w:firstLine="2552"/>
        <w:jc w:val="both"/>
        <w:rPr>
          <w:bCs/>
          <w:lang w:val="es-ES_tradnl"/>
        </w:rPr>
      </w:pPr>
      <w:r>
        <w:rPr>
          <w:b/>
          <w:bCs/>
          <w:lang w:val="es-ES_tradnl"/>
        </w:rPr>
        <w:t xml:space="preserve">3) </w:t>
      </w:r>
      <w:r w:rsidR="008B7111">
        <w:rPr>
          <w:bCs/>
          <w:lang w:val="es-ES_tradnl"/>
        </w:rPr>
        <w:t>que en esta oportunidad</w:t>
      </w:r>
      <w:r w:rsidR="003B218C">
        <w:rPr>
          <w:bCs/>
          <w:lang w:val="es-ES_tradnl"/>
        </w:rPr>
        <w:t>,</w:t>
      </w:r>
      <w:r w:rsidR="008B7111">
        <w:rPr>
          <w:bCs/>
          <w:lang w:val="es-ES_tradnl"/>
        </w:rPr>
        <w:t xml:space="preserve"> se remite copia fiel de </w:t>
      </w:r>
      <w:smartTag w:uri="urn:schemas-microsoft-com:office:smarttags" w:element="PersonName">
        <w:smartTagPr>
          <w:attr w:name="ProductID" w:val="la Resoluci￳n N"/>
        </w:smartTagPr>
        <w:smartTag w:uri="urn:schemas-microsoft-com:office:smarttags" w:element="PersonName">
          <w:smartTagPr>
            <w:attr w:name="ProductID" w:val="la Resoluci￳n"/>
          </w:smartTagPr>
          <w:r w:rsidR="008B7111">
            <w:rPr>
              <w:bCs/>
              <w:lang w:val="es-ES_tradnl"/>
            </w:rPr>
            <w:t>la Resolución</w:t>
          </w:r>
        </w:smartTag>
        <w:r w:rsidR="008B7111">
          <w:rPr>
            <w:bCs/>
            <w:lang w:val="es-ES_tradnl"/>
          </w:rPr>
          <w:t xml:space="preserve"> N</w:t>
        </w:r>
      </w:smartTag>
      <w:r w:rsidR="008B7111">
        <w:rPr>
          <w:bCs/>
          <w:lang w:val="es-ES_tradnl"/>
        </w:rPr>
        <w:t>º 4027/2013 de fecha 22.11.2013 adoptada por el Directorio del Instituto del Niño y Adolescente del Uruguay, por la cual se reitera del gasto antedicho y se expresan los siguientes fundamentos:</w:t>
      </w:r>
    </w:p>
    <w:p w:rsidR="008B7111" w:rsidRDefault="008B7111" w:rsidP="00F9136C">
      <w:pPr>
        <w:spacing w:line="360" w:lineRule="auto"/>
        <w:ind w:left="426" w:hanging="426"/>
        <w:jc w:val="both"/>
        <w:rPr>
          <w:bCs/>
          <w:lang w:val="es-ES_tradnl"/>
        </w:rPr>
      </w:pPr>
      <w:r w:rsidRPr="00C06DE7">
        <w:rPr>
          <w:b/>
          <w:bCs/>
          <w:lang w:val="es-ES_tradnl"/>
        </w:rPr>
        <w:t>3.1)</w:t>
      </w:r>
      <w:r>
        <w:rPr>
          <w:bCs/>
          <w:lang w:val="es-ES_tradnl"/>
        </w:rPr>
        <w:t xml:space="preserve"> </w:t>
      </w:r>
      <w:r w:rsidR="0068642B">
        <w:rPr>
          <w:bCs/>
          <w:lang w:val="es-ES_tradnl"/>
        </w:rPr>
        <w:t xml:space="preserve">en el año 2011 se convocó a Licitación Pública para la realización de obras </w:t>
      </w:r>
      <w:r>
        <w:rPr>
          <w:bCs/>
          <w:lang w:val="es-ES_tradnl"/>
        </w:rPr>
        <w:t xml:space="preserve"> de </w:t>
      </w:r>
      <w:r w:rsidR="00876CC5">
        <w:rPr>
          <w:bCs/>
          <w:lang w:val="es-ES_tradnl"/>
        </w:rPr>
        <w:t xml:space="preserve">refacción del local </w:t>
      </w:r>
      <w:r>
        <w:rPr>
          <w:bCs/>
          <w:lang w:val="es-ES_tradnl"/>
        </w:rPr>
        <w:t>sito en Bulevar Artigas y Avda. General Flores</w:t>
      </w:r>
      <w:r w:rsidR="0068642B">
        <w:rPr>
          <w:bCs/>
          <w:lang w:val="es-ES_tradnl"/>
        </w:rPr>
        <w:t>, habiendo sido la misma declarada frustrada, atento a que los oferentes que se presentaron no calificaron</w:t>
      </w:r>
      <w:r w:rsidR="00876CC5">
        <w:rPr>
          <w:bCs/>
          <w:lang w:val="es-ES_tradnl"/>
        </w:rPr>
        <w:t>, hecho que llevó a plantear al Poder Ejecutivo la necesidad de contar con mecanismos más rápidos para dar respuesta edilicia a la demanda de atención</w:t>
      </w:r>
      <w:r w:rsidR="0068642B">
        <w:rPr>
          <w:bCs/>
          <w:lang w:val="es-ES_tradnl"/>
        </w:rPr>
        <w:t>;</w:t>
      </w:r>
    </w:p>
    <w:p w:rsidR="0068642B" w:rsidRDefault="0068642B" w:rsidP="00F9136C">
      <w:pPr>
        <w:spacing w:line="360" w:lineRule="auto"/>
        <w:ind w:left="426" w:hanging="426"/>
        <w:jc w:val="both"/>
        <w:rPr>
          <w:bCs/>
          <w:lang w:val="es-ES_tradnl"/>
        </w:rPr>
      </w:pPr>
      <w:r w:rsidRPr="00C06DE7">
        <w:rPr>
          <w:b/>
          <w:bCs/>
          <w:lang w:val="es-ES_tradnl"/>
        </w:rPr>
        <w:t>3.2)</w:t>
      </w:r>
      <w:r>
        <w:rPr>
          <w:bCs/>
          <w:lang w:val="es-ES_tradnl"/>
        </w:rPr>
        <w:t xml:space="preserve"> </w:t>
      </w:r>
      <w:r w:rsidR="00DC0C73">
        <w:rPr>
          <w:bCs/>
          <w:lang w:val="es-ES_tradnl"/>
        </w:rPr>
        <w:t xml:space="preserve">la aprobación del proyecto </w:t>
      </w:r>
      <w:r>
        <w:rPr>
          <w:bCs/>
          <w:lang w:val="es-ES_tradnl"/>
        </w:rPr>
        <w:t>de extensión de los períodos de penalización de los jóvenes que cometen i</w:t>
      </w:r>
      <w:r w:rsidR="003B218C">
        <w:rPr>
          <w:bCs/>
          <w:lang w:val="es-ES_tradnl"/>
        </w:rPr>
        <w:t>nfracciones como la rapiña que</w:t>
      </w:r>
      <w:r w:rsidR="00E92113">
        <w:rPr>
          <w:bCs/>
          <w:lang w:val="es-ES_tradnl"/>
        </w:rPr>
        <w:t xml:space="preserve"> deben</w:t>
      </w:r>
      <w:r>
        <w:rPr>
          <w:bCs/>
          <w:lang w:val="es-ES_tradnl"/>
        </w:rPr>
        <w:t xml:space="preserve"> permanecer privados de libertad por un año sin posibilidad de </w:t>
      </w:r>
      <w:r w:rsidR="003B218C">
        <w:rPr>
          <w:bCs/>
          <w:lang w:val="es-ES_tradnl"/>
        </w:rPr>
        <w:t>recu</w:t>
      </w:r>
      <w:r>
        <w:rPr>
          <w:bCs/>
          <w:lang w:val="es-ES_tradnl"/>
        </w:rPr>
        <w:t xml:space="preserve">rrir a medidas alternativas </w:t>
      </w:r>
      <w:r w:rsidR="00E92113">
        <w:rPr>
          <w:bCs/>
          <w:lang w:val="es-ES_tradnl"/>
        </w:rPr>
        <w:t>a la</w:t>
      </w:r>
      <w:r>
        <w:rPr>
          <w:bCs/>
          <w:lang w:val="es-ES_tradnl"/>
        </w:rPr>
        <w:t xml:space="preserve"> privación de libertad, </w:t>
      </w:r>
      <w:r w:rsidR="00E92113">
        <w:rPr>
          <w:bCs/>
          <w:lang w:val="es-ES_tradnl"/>
        </w:rPr>
        <w:t xml:space="preserve">implicó el aumento de la población </w:t>
      </w:r>
      <w:r w:rsidR="00C57D9B">
        <w:rPr>
          <w:bCs/>
          <w:lang w:val="es-ES_tradnl"/>
        </w:rPr>
        <w:t xml:space="preserve">juvenil </w:t>
      </w:r>
      <w:r w:rsidR="00E92113">
        <w:rPr>
          <w:bCs/>
          <w:lang w:val="es-ES_tradnl"/>
        </w:rPr>
        <w:t>at</w:t>
      </w:r>
      <w:r w:rsidR="00777701">
        <w:rPr>
          <w:bCs/>
          <w:lang w:val="es-ES_tradnl"/>
        </w:rPr>
        <w:t>endida y a atender y el reclamo de permanencia de los jóvenes dentro de los servicios,</w:t>
      </w:r>
      <w:r w:rsidR="00E92113">
        <w:rPr>
          <w:bCs/>
          <w:lang w:val="es-ES_tradnl"/>
        </w:rPr>
        <w:t xml:space="preserve"> derivó en el colapso del sistema</w:t>
      </w:r>
      <w:r w:rsidR="004805AF">
        <w:rPr>
          <w:bCs/>
          <w:lang w:val="es-ES_tradnl"/>
        </w:rPr>
        <w:t>, por carencia de plazas;</w:t>
      </w:r>
    </w:p>
    <w:p w:rsidR="004805AF" w:rsidRPr="008B7111" w:rsidRDefault="004805AF" w:rsidP="00F9136C">
      <w:pPr>
        <w:spacing w:line="360" w:lineRule="auto"/>
        <w:ind w:left="426" w:hanging="426"/>
        <w:jc w:val="both"/>
        <w:rPr>
          <w:bCs/>
          <w:lang w:val="es-ES_tradnl"/>
        </w:rPr>
      </w:pPr>
      <w:r w:rsidRPr="00C06DE7">
        <w:rPr>
          <w:b/>
          <w:bCs/>
          <w:lang w:val="es-ES_tradnl"/>
        </w:rPr>
        <w:t>3.3)</w:t>
      </w:r>
      <w:r>
        <w:rPr>
          <w:bCs/>
          <w:lang w:val="es-ES_tradnl"/>
        </w:rPr>
        <w:t xml:space="preserve"> </w:t>
      </w:r>
      <w:r w:rsidR="00C57D9B">
        <w:rPr>
          <w:bCs/>
          <w:lang w:val="es-ES_tradnl"/>
        </w:rPr>
        <w:t>es</w:t>
      </w:r>
      <w:r w:rsidR="00293345">
        <w:rPr>
          <w:bCs/>
          <w:lang w:val="es-ES_tradnl"/>
        </w:rPr>
        <w:t>tos hechos llevaron a gestionar el procedimiento de contratación directa relacionado y por aplicación de los principios de economía, celeridad</w:t>
      </w:r>
      <w:r w:rsidR="0080685E">
        <w:rPr>
          <w:bCs/>
          <w:lang w:val="es-ES_tradnl"/>
        </w:rPr>
        <w:t>,</w:t>
      </w:r>
      <w:r w:rsidR="00293345">
        <w:rPr>
          <w:bCs/>
          <w:lang w:val="es-ES_tradnl"/>
        </w:rPr>
        <w:t xml:space="preserve"> eficacia</w:t>
      </w:r>
      <w:r w:rsidR="0080685E">
        <w:rPr>
          <w:bCs/>
          <w:lang w:val="es-ES_tradnl"/>
        </w:rPr>
        <w:t>, flexibilidad, materialidad y ausencia de ritualismo</w:t>
      </w:r>
      <w:r w:rsidR="00293345">
        <w:rPr>
          <w:bCs/>
          <w:lang w:val="es-ES_tradnl"/>
        </w:rPr>
        <w:t xml:space="preserve"> </w:t>
      </w:r>
      <w:r w:rsidR="00DC0C73">
        <w:rPr>
          <w:bCs/>
          <w:lang w:val="es-ES_tradnl"/>
        </w:rPr>
        <w:t xml:space="preserve">y en atención al conocimiento público de la situación, </w:t>
      </w:r>
      <w:r w:rsidR="00293345">
        <w:rPr>
          <w:bCs/>
          <w:lang w:val="es-ES_tradnl"/>
        </w:rPr>
        <w:t xml:space="preserve">no se incluyó en </w:t>
      </w:r>
      <w:smartTag w:uri="urn:schemas-microsoft-com:office:smarttags" w:element="PersonName">
        <w:smartTagPr>
          <w:attr w:name="ProductID" w:val="la Resoluci￳n N"/>
        </w:smartTagPr>
        <w:smartTag w:uri="urn:schemas-microsoft-com:office:smarttags" w:element="PersonName">
          <w:smartTagPr>
            <w:attr w:name="ProductID" w:val="la Resoluci￳n"/>
          </w:smartTagPr>
          <w:r w:rsidR="00293345">
            <w:rPr>
              <w:bCs/>
              <w:lang w:val="es-ES_tradnl"/>
            </w:rPr>
            <w:t>la Resolución</w:t>
          </w:r>
        </w:smartTag>
        <w:r w:rsidR="00293345">
          <w:rPr>
            <w:bCs/>
            <w:lang w:val="es-ES_tradnl"/>
          </w:rPr>
          <w:t xml:space="preserve"> N</w:t>
        </w:r>
      </w:smartTag>
      <w:r w:rsidR="00293345">
        <w:rPr>
          <w:bCs/>
          <w:lang w:val="es-ES_tradnl"/>
        </w:rPr>
        <w:t xml:space="preserve">º 3344/013 de fecha 3.10.2013 una enumeración explícita de los </w:t>
      </w:r>
      <w:r w:rsidR="00293345">
        <w:rPr>
          <w:bCs/>
          <w:lang w:val="es-ES_tradnl"/>
        </w:rPr>
        <w:lastRenderedPageBreak/>
        <w:t xml:space="preserve">fundamentos, por cuanto se entendieron intrínsecamente establecidos en el Decreto Nº 312/012 invocado en el Atento de la citada Resolución; </w:t>
      </w:r>
    </w:p>
    <w:p w:rsidR="00D20148" w:rsidRDefault="005B0157" w:rsidP="00D20148">
      <w:pPr>
        <w:spacing w:line="360" w:lineRule="auto"/>
        <w:ind w:firstLine="708"/>
        <w:jc w:val="both"/>
        <w:rPr>
          <w:bCs/>
          <w:lang w:val="es-ES_tradnl"/>
        </w:rPr>
      </w:pPr>
      <w:r w:rsidRPr="005B0157">
        <w:rPr>
          <w:b/>
          <w:lang w:val="es-UY"/>
        </w:rPr>
        <w:t xml:space="preserve">CONSIDERANDO: 1) </w:t>
      </w:r>
      <w:r w:rsidR="00D20148">
        <w:rPr>
          <w:bCs/>
          <w:lang w:val="es-ES_tradnl"/>
        </w:rPr>
        <w:t>que</w:t>
      </w:r>
      <w:r w:rsidR="0080685E">
        <w:rPr>
          <w:bCs/>
          <w:lang w:val="es-ES_tradnl"/>
        </w:rPr>
        <w:t xml:space="preserve"> si bien no lo hizo en la oportunidad procesal adecuada,</w:t>
      </w:r>
      <w:r w:rsidR="00D20148">
        <w:rPr>
          <w:bCs/>
          <w:lang w:val="es-ES_tradnl"/>
        </w:rPr>
        <w:t xml:space="preserve"> la administración contratante </w:t>
      </w:r>
      <w:r w:rsidR="00ED34F5">
        <w:rPr>
          <w:bCs/>
          <w:lang w:val="es-ES_tradnl"/>
        </w:rPr>
        <w:t>fundament</w:t>
      </w:r>
      <w:r w:rsidR="0080685E">
        <w:rPr>
          <w:bCs/>
          <w:lang w:val="es-ES_tradnl"/>
        </w:rPr>
        <w:t>a</w:t>
      </w:r>
      <w:r w:rsidR="00D20148">
        <w:rPr>
          <w:bCs/>
          <w:lang w:val="es-ES_tradnl"/>
        </w:rPr>
        <w:t xml:space="preserve"> </w:t>
      </w:r>
      <w:r w:rsidR="00F827C7">
        <w:rPr>
          <w:bCs/>
          <w:lang w:val="es-ES_tradnl"/>
        </w:rPr>
        <w:t xml:space="preserve">en la presente, </w:t>
      </w:r>
      <w:r w:rsidR="00ED34F5">
        <w:rPr>
          <w:bCs/>
          <w:lang w:val="es-ES_tradnl"/>
        </w:rPr>
        <w:t>las razones</w:t>
      </w:r>
      <w:r w:rsidR="00D20148">
        <w:rPr>
          <w:bCs/>
          <w:lang w:val="es-ES_tradnl"/>
        </w:rPr>
        <w:t xml:space="preserve"> </w:t>
      </w:r>
      <w:r w:rsidR="00ED34F5">
        <w:rPr>
          <w:bCs/>
          <w:lang w:val="es-ES_tradnl"/>
        </w:rPr>
        <w:t xml:space="preserve">que configuraron la causal de excepción invocada para concretar la contratación con la firma Medina &amp; </w:t>
      </w:r>
      <w:proofErr w:type="spellStart"/>
      <w:r w:rsidR="00ED34F5">
        <w:rPr>
          <w:bCs/>
          <w:lang w:val="es-ES_tradnl"/>
        </w:rPr>
        <w:t>Possamai</w:t>
      </w:r>
      <w:proofErr w:type="spellEnd"/>
      <w:r w:rsidR="00ED34F5">
        <w:rPr>
          <w:bCs/>
          <w:lang w:val="es-ES_tradnl"/>
        </w:rPr>
        <w:t xml:space="preserve"> </w:t>
      </w:r>
      <w:r w:rsidR="00203362">
        <w:rPr>
          <w:bCs/>
          <w:lang w:val="es-ES_tradnl"/>
        </w:rPr>
        <w:t xml:space="preserve">Ltda. </w:t>
      </w:r>
      <w:proofErr w:type="gramStart"/>
      <w:r w:rsidR="00203362">
        <w:rPr>
          <w:bCs/>
          <w:lang w:val="es-ES_tradnl"/>
        </w:rPr>
        <w:t>para</w:t>
      </w:r>
      <w:proofErr w:type="gramEnd"/>
      <w:r w:rsidR="00203362">
        <w:rPr>
          <w:bCs/>
          <w:lang w:val="es-ES_tradnl"/>
        </w:rPr>
        <w:t xml:space="preserve"> la realización de las obras relacionadas;</w:t>
      </w:r>
    </w:p>
    <w:p w:rsidR="005B0157" w:rsidRPr="005B0157" w:rsidRDefault="00F9136C" w:rsidP="00F9136C">
      <w:pPr>
        <w:spacing w:line="360" w:lineRule="auto"/>
        <w:ind w:firstLine="2835"/>
        <w:jc w:val="both"/>
        <w:rPr>
          <w:spacing w:val="-3"/>
          <w:lang w:val="es-ES_tradnl"/>
        </w:rPr>
      </w:pPr>
      <w:r>
        <w:rPr>
          <w:b/>
          <w:bCs/>
          <w:lang w:val="es-UY"/>
        </w:rPr>
        <w:t xml:space="preserve"> </w:t>
      </w:r>
      <w:r w:rsidR="00203362">
        <w:rPr>
          <w:b/>
          <w:bCs/>
          <w:lang w:val="es-UY"/>
        </w:rPr>
        <w:t xml:space="preserve">2) </w:t>
      </w:r>
      <w:r w:rsidR="005B0157" w:rsidRPr="005B0157">
        <w:rPr>
          <w:bCs/>
          <w:lang w:val="es-UY"/>
        </w:rPr>
        <w:t xml:space="preserve">que </w:t>
      </w:r>
      <w:r w:rsidR="00203362">
        <w:rPr>
          <w:bCs/>
          <w:lang w:val="es-UY"/>
        </w:rPr>
        <w:t>asimismo, consta en los antecedentes que oportunamente se solicitó</w:t>
      </w:r>
      <w:r w:rsidR="000A14AF">
        <w:rPr>
          <w:bCs/>
          <w:lang w:val="es-ES_tradnl"/>
        </w:rPr>
        <w:t xml:space="preserve"> la </w:t>
      </w:r>
      <w:r w:rsidR="000E3335">
        <w:rPr>
          <w:bCs/>
          <w:lang w:val="es-ES_tradnl"/>
        </w:rPr>
        <w:t>certificación del M</w:t>
      </w:r>
      <w:r w:rsidR="00203362">
        <w:rPr>
          <w:bCs/>
          <w:lang w:val="es-ES_tradnl"/>
        </w:rPr>
        <w:t>inisterio de Economía y Finanzas requerida por el</w:t>
      </w:r>
      <w:r w:rsidR="000E3335">
        <w:t xml:space="preserve"> </w:t>
      </w:r>
      <w:r>
        <w:t>A</w:t>
      </w:r>
      <w:r w:rsidR="000E3335">
        <w:t xml:space="preserve">rtículo 738 de </w:t>
      </w:r>
      <w:smartTag w:uri="urn:schemas-microsoft-com:office:smarttags" w:element="PersonName">
        <w:smartTagPr>
          <w:attr w:name="ProductID" w:val="la Ley"/>
        </w:smartTagPr>
        <w:r w:rsidR="000E3335">
          <w:t>la Ley</w:t>
        </w:r>
      </w:smartTag>
      <w:r w:rsidR="000E3335">
        <w:t xml:space="preserve"> 16.736</w:t>
      </w:r>
      <w:r w:rsidR="000A14AF">
        <w:t>;</w:t>
      </w:r>
      <w:r w:rsidR="005B0157" w:rsidRPr="005B0157">
        <w:tab/>
      </w:r>
      <w:r w:rsidR="005B0157" w:rsidRPr="005B0157">
        <w:tab/>
      </w:r>
    </w:p>
    <w:p w:rsidR="000A14AF" w:rsidRDefault="005B0157" w:rsidP="005B0157">
      <w:pPr>
        <w:spacing w:line="360" w:lineRule="auto"/>
        <w:ind w:firstLine="708"/>
        <w:jc w:val="both"/>
        <w:rPr>
          <w:lang w:val="es-UY"/>
        </w:rPr>
      </w:pPr>
      <w:r w:rsidRPr="005B0157">
        <w:rPr>
          <w:b/>
          <w:lang w:val="es-UY"/>
        </w:rPr>
        <w:t>ATENTO</w:t>
      </w:r>
      <w:r w:rsidRPr="005B0157">
        <w:rPr>
          <w:lang w:val="es-UY"/>
        </w:rPr>
        <w:t>: a lo expuesto precedentemente</w:t>
      </w:r>
      <w:r w:rsidR="000A14AF">
        <w:rPr>
          <w:lang w:val="es-UY"/>
        </w:rPr>
        <w:t xml:space="preserve"> y a lo dispuesto por el </w:t>
      </w:r>
      <w:r w:rsidR="00F9136C">
        <w:rPr>
          <w:lang w:val="es-UY"/>
        </w:rPr>
        <w:t>A</w:t>
      </w:r>
      <w:r w:rsidR="000A14AF">
        <w:rPr>
          <w:lang w:val="es-UY"/>
        </w:rPr>
        <w:t xml:space="preserve">rtículo 211 </w:t>
      </w:r>
      <w:r w:rsidR="00F9136C">
        <w:rPr>
          <w:lang w:val="es-UY"/>
        </w:rPr>
        <w:t>L</w:t>
      </w:r>
      <w:r w:rsidR="000A14AF">
        <w:rPr>
          <w:lang w:val="es-UY"/>
        </w:rPr>
        <w:t xml:space="preserve">iteral B) de </w:t>
      </w:r>
      <w:smartTag w:uri="urn:schemas-microsoft-com:office:smarttags" w:element="PersonName">
        <w:smartTagPr>
          <w:attr w:name="ProductID" w:val="la Constitución"/>
        </w:smartTagPr>
        <w:r w:rsidR="000A14AF">
          <w:rPr>
            <w:lang w:val="es-UY"/>
          </w:rPr>
          <w:t>la Constitución</w:t>
        </w:r>
      </w:smartTag>
      <w:r w:rsidR="000A14AF">
        <w:rPr>
          <w:lang w:val="es-UY"/>
        </w:rPr>
        <w:t xml:space="preserve"> de </w:t>
      </w:r>
      <w:smartTag w:uri="urn:schemas-microsoft-com:office:smarttags" w:element="PersonName">
        <w:smartTagPr>
          <w:attr w:name="ProductID" w:val="la República"/>
        </w:smartTagPr>
        <w:r w:rsidR="000A14AF">
          <w:rPr>
            <w:lang w:val="es-UY"/>
          </w:rPr>
          <w:t>la República</w:t>
        </w:r>
      </w:smartTag>
      <w:r w:rsidRPr="005B0157">
        <w:rPr>
          <w:lang w:val="es-UY"/>
        </w:rPr>
        <w:t>;</w:t>
      </w:r>
    </w:p>
    <w:p w:rsidR="005B0157" w:rsidRPr="005B0157" w:rsidRDefault="00F827C7" w:rsidP="005B0157">
      <w:pPr>
        <w:keepNext/>
        <w:spacing w:line="360" w:lineRule="auto"/>
        <w:jc w:val="center"/>
        <w:outlineLvl w:val="0"/>
        <w:rPr>
          <w:b/>
          <w:lang w:val="es-UY"/>
        </w:rPr>
      </w:pPr>
      <w:r>
        <w:rPr>
          <w:b/>
          <w:lang w:val="es-UY"/>
        </w:rPr>
        <w:t>E</w:t>
      </w:r>
      <w:r w:rsidR="005B0157" w:rsidRPr="005B0157">
        <w:rPr>
          <w:b/>
          <w:lang w:val="es-UY"/>
        </w:rPr>
        <w:t>L TRIBUNAL ACUERDA</w:t>
      </w:r>
    </w:p>
    <w:p w:rsidR="005B0157" w:rsidRPr="005B0157" w:rsidRDefault="005B0157" w:rsidP="00F9136C">
      <w:pPr>
        <w:spacing w:line="360" w:lineRule="auto"/>
        <w:ind w:left="284" w:hanging="284"/>
        <w:jc w:val="both"/>
      </w:pPr>
      <w:r w:rsidRPr="005B0157">
        <w:rPr>
          <w:b/>
          <w:bCs/>
          <w:lang w:val="es-UY"/>
        </w:rPr>
        <w:t>1)</w:t>
      </w:r>
      <w:r w:rsidRPr="005B0157">
        <w:rPr>
          <w:lang w:val="es-UY"/>
        </w:rPr>
        <w:t xml:space="preserve"> </w:t>
      </w:r>
      <w:r w:rsidR="000A14AF">
        <w:rPr>
          <w:lang w:val="es-UY"/>
        </w:rPr>
        <w:t>Levantar la observación formulada en sesión de fecha 30 de octubre del 2013</w:t>
      </w:r>
      <w:r w:rsidR="00F9136C">
        <w:rPr>
          <w:lang w:val="es-UY"/>
        </w:rPr>
        <w:t>;</w:t>
      </w:r>
      <w:r w:rsidRPr="005B0157">
        <w:t xml:space="preserve"> </w:t>
      </w:r>
    </w:p>
    <w:p w:rsidR="000A14AF" w:rsidRDefault="005B0157" w:rsidP="00F9136C">
      <w:pPr>
        <w:spacing w:line="360" w:lineRule="auto"/>
        <w:ind w:left="284" w:hanging="284"/>
        <w:jc w:val="both"/>
        <w:rPr>
          <w:lang w:val="es-UY"/>
        </w:rPr>
      </w:pPr>
      <w:r w:rsidRPr="005B0157">
        <w:rPr>
          <w:b/>
          <w:bCs/>
          <w:lang w:val="es-UY"/>
        </w:rPr>
        <w:t>2)</w:t>
      </w:r>
      <w:r w:rsidRPr="005B0157">
        <w:rPr>
          <w:lang w:val="es-UY"/>
        </w:rPr>
        <w:t xml:space="preserve"> </w:t>
      </w:r>
      <w:r w:rsidR="000A14AF">
        <w:rPr>
          <w:lang w:val="es-UY"/>
        </w:rPr>
        <w:t>Cometer a</w:t>
      </w:r>
      <w:r w:rsidR="00E66DF1">
        <w:rPr>
          <w:lang w:val="es-UY"/>
        </w:rPr>
        <w:t xml:space="preserve"> </w:t>
      </w:r>
      <w:r w:rsidR="000A14AF">
        <w:rPr>
          <w:lang w:val="es-UY"/>
        </w:rPr>
        <w:t>l</w:t>
      </w:r>
      <w:r w:rsidR="00E66DF1">
        <w:rPr>
          <w:lang w:val="es-UY"/>
        </w:rPr>
        <w:t>a</w:t>
      </w:r>
      <w:r w:rsidR="000A14AF">
        <w:rPr>
          <w:lang w:val="es-UY"/>
        </w:rPr>
        <w:t xml:space="preserve"> Contador</w:t>
      </w:r>
      <w:r w:rsidR="00E66DF1">
        <w:rPr>
          <w:lang w:val="es-UY"/>
        </w:rPr>
        <w:t>a Delegada</w:t>
      </w:r>
      <w:r w:rsidR="000A14AF">
        <w:rPr>
          <w:lang w:val="es-UY"/>
        </w:rPr>
        <w:t xml:space="preserve"> la intervención del gasto de </w:t>
      </w:r>
      <w:r w:rsidR="000A14AF">
        <w:rPr>
          <w:bCs/>
          <w:lang w:val="es-ES_tradnl"/>
        </w:rPr>
        <w:t xml:space="preserve">$ 81:616.237 impuestos y leyes sociales incluidos (ajustable según la variación del Índice del Costo de </w:t>
      </w:r>
      <w:smartTag w:uri="urn:schemas-microsoft-com:office:smarttags" w:element="PersonName">
        <w:smartTagPr>
          <w:attr w:name="ProductID" w:val="la Construcción"/>
        </w:smartTagPr>
        <w:r w:rsidR="000A14AF">
          <w:rPr>
            <w:bCs/>
            <w:lang w:val="es-ES_tradnl"/>
          </w:rPr>
          <w:t>la Construcción</w:t>
        </w:r>
      </w:smartTag>
      <w:r w:rsidR="000A14AF">
        <w:rPr>
          <w:bCs/>
          <w:lang w:val="es-ES_tradnl"/>
        </w:rPr>
        <w:t>), previo control de su imputación en el Objeto del Gasto adecuado con disponibilidad suficiente</w:t>
      </w:r>
      <w:r w:rsidR="00F9136C">
        <w:rPr>
          <w:bCs/>
          <w:lang w:val="es-ES_tradnl"/>
        </w:rPr>
        <w:t>; y</w:t>
      </w:r>
    </w:p>
    <w:p w:rsidR="00E66DF1" w:rsidRPr="00E66DF1" w:rsidRDefault="000A14AF" w:rsidP="00F9136C">
      <w:pPr>
        <w:spacing w:line="360" w:lineRule="auto"/>
        <w:jc w:val="both"/>
        <w:rPr>
          <w:lang w:val="es-UY"/>
        </w:rPr>
      </w:pPr>
      <w:r>
        <w:rPr>
          <w:b/>
          <w:lang w:val="es-UY"/>
        </w:rPr>
        <w:t xml:space="preserve">3) </w:t>
      </w:r>
      <w:r w:rsidR="00E66DF1" w:rsidRPr="00E66DF1">
        <w:rPr>
          <w:lang w:val="es-UY"/>
        </w:rPr>
        <w:t>Comunicar a</w:t>
      </w:r>
      <w:r w:rsidR="00E66DF1">
        <w:rPr>
          <w:lang w:val="es-UY"/>
        </w:rPr>
        <w:t xml:space="preserve"> </w:t>
      </w:r>
      <w:r w:rsidR="00E66DF1" w:rsidRPr="00E66DF1">
        <w:rPr>
          <w:lang w:val="es-UY"/>
        </w:rPr>
        <w:t>l</w:t>
      </w:r>
      <w:r w:rsidR="00E66DF1">
        <w:rPr>
          <w:lang w:val="es-UY"/>
        </w:rPr>
        <w:t>a</w:t>
      </w:r>
      <w:r w:rsidR="00E66DF1" w:rsidRPr="00E66DF1">
        <w:rPr>
          <w:lang w:val="es-UY"/>
        </w:rPr>
        <w:t xml:space="preserve"> Contador</w:t>
      </w:r>
      <w:r w:rsidR="00E66DF1">
        <w:rPr>
          <w:lang w:val="es-UY"/>
        </w:rPr>
        <w:t>a</w:t>
      </w:r>
      <w:r w:rsidR="00E66DF1" w:rsidRPr="00E66DF1">
        <w:rPr>
          <w:lang w:val="es-UY"/>
        </w:rPr>
        <w:t xml:space="preserve"> Delegad</w:t>
      </w:r>
      <w:r w:rsidR="00E66DF1">
        <w:rPr>
          <w:lang w:val="es-UY"/>
        </w:rPr>
        <w:t>a</w:t>
      </w:r>
      <w:bookmarkStart w:id="0" w:name="_GoBack"/>
      <w:bookmarkEnd w:id="0"/>
      <w:r w:rsidR="00E66DF1" w:rsidRPr="00E66DF1">
        <w:rPr>
          <w:lang w:val="es-UY"/>
        </w:rPr>
        <w:t>; y</w:t>
      </w:r>
    </w:p>
    <w:p w:rsidR="005B0157" w:rsidRDefault="00E66DF1" w:rsidP="00F9136C">
      <w:pPr>
        <w:spacing w:line="360" w:lineRule="auto"/>
        <w:jc w:val="both"/>
        <w:rPr>
          <w:lang w:val="es-UY"/>
        </w:rPr>
      </w:pPr>
      <w:r>
        <w:rPr>
          <w:b/>
          <w:lang w:val="es-UY"/>
        </w:rPr>
        <w:t xml:space="preserve">4) </w:t>
      </w:r>
      <w:r w:rsidR="005B0157" w:rsidRPr="005B0157">
        <w:rPr>
          <w:lang w:val="es-UY"/>
        </w:rPr>
        <w:t>Devolver las actuaciones.</w:t>
      </w:r>
      <w:r w:rsidR="000A14AF">
        <w:rPr>
          <w:lang w:val="es-UY"/>
        </w:rPr>
        <w:t>-</w:t>
      </w:r>
    </w:p>
    <w:p w:rsidR="00BC5B38" w:rsidRPr="005B0157" w:rsidRDefault="00BC5B38" w:rsidP="005B0157">
      <w:pPr>
        <w:spacing w:line="360" w:lineRule="auto"/>
        <w:ind w:firstLine="708"/>
        <w:jc w:val="both"/>
        <w:rPr>
          <w:lang w:val="es-UY"/>
        </w:rPr>
      </w:pPr>
    </w:p>
    <w:p w:rsidR="005B0157" w:rsidRDefault="005B0157" w:rsidP="005B0157">
      <w:pPr>
        <w:spacing w:line="360" w:lineRule="auto"/>
        <w:jc w:val="both"/>
        <w:rPr>
          <w:lang w:val="es-UY"/>
        </w:rPr>
      </w:pPr>
    </w:p>
    <w:p w:rsidR="00E66DF1" w:rsidRDefault="00E66DF1" w:rsidP="005B0157">
      <w:pPr>
        <w:spacing w:line="360" w:lineRule="auto"/>
        <w:jc w:val="both"/>
        <w:rPr>
          <w:lang w:val="es-UY"/>
        </w:rPr>
      </w:pPr>
    </w:p>
    <w:p w:rsidR="00E66DF1" w:rsidRDefault="00E66DF1" w:rsidP="005B0157">
      <w:pPr>
        <w:spacing w:line="360" w:lineRule="auto"/>
        <w:jc w:val="both"/>
        <w:rPr>
          <w:lang w:val="es-UY"/>
        </w:rPr>
      </w:pPr>
    </w:p>
    <w:p w:rsidR="00E66DF1" w:rsidRDefault="00E66DF1" w:rsidP="005B0157">
      <w:pPr>
        <w:spacing w:line="360" w:lineRule="auto"/>
        <w:jc w:val="both"/>
        <w:rPr>
          <w:lang w:val="es-UY"/>
        </w:rPr>
      </w:pPr>
    </w:p>
    <w:p w:rsidR="00E66DF1" w:rsidRDefault="00E66DF1" w:rsidP="005B0157">
      <w:pPr>
        <w:spacing w:line="360" w:lineRule="auto"/>
        <w:jc w:val="both"/>
        <w:rPr>
          <w:lang w:val="es-UY"/>
        </w:rPr>
      </w:pPr>
      <w:proofErr w:type="spellStart"/>
      <w:proofErr w:type="gramStart"/>
      <w:r>
        <w:rPr>
          <w:lang w:val="es-UY"/>
        </w:rPr>
        <w:t>cr</w:t>
      </w:r>
      <w:proofErr w:type="spellEnd"/>
      <w:proofErr w:type="gramEnd"/>
    </w:p>
    <w:sectPr w:rsidR="00E66DF1" w:rsidSect="005F086F">
      <w:footerReference w:type="even" r:id="rId8"/>
      <w:footerReference w:type="default" r:id="rId9"/>
      <w:pgSz w:w="11906" w:h="16838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EB8" w:rsidRDefault="00745EB8">
      <w:r>
        <w:separator/>
      </w:r>
    </w:p>
  </w:endnote>
  <w:endnote w:type="continuationSeparator" w:id="0">
    <w:p w:rsidR="00745EB8" w:rsidRDefault="0074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4A6" w:rsidRDefault="009B54A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54A6" w:rsidRDefault="009B54A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4A6" w:rsidRDefault="009B54A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66DF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B54A6" w:rsidRDefault="009B54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EB8" w:rsidRDefault="00745EB8">
      <w:r>
        <w:separator/>
      </w:r>
    </w:p>
  </w:footnote>
  <w:footnote w:type="continuationSeparator" w:id="0">
    <w:p w:rsidR="00745EB8" w:rsidRDefault="0074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1F0D"/>
    <w:multiLevelType w:val="hybridMultilevel"/>
    <w:tmpl w:val="E256AD5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22FA0"/>
    <w:multiLevelType w:val="hybridMultilevel"/>
    <w:tmpl w:val="6F9C3DF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26A068F"/>
    <w:multiLevelType w:val="hybridMultilevel"/>
    <w:tmpl w:val="F21A7908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1212B41"/>
    <w:multiLevelType w:val="hybridMultilevel"/>
    <w:tmpl w:val="B8C04DDC"/>
    <w:lvl w:ilvl="0" w:tplc="8B1065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5A147B20"/>
    <w:multiLevelType w:val="hybridMultilevel"/>
    <w:tmpl w:val="BF6039D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60A025A9"/>
    <w:multiLevelType w:val="hybridMultilevel"/>
    <w:tmpl w:val="1A1C0AC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A3"/>
    <w:rsid w:val="00005E44"/>
    <w:rsid w:val="0001039D"/>
    <w:rsid w:val="000149E8"/>
    <w:rsid w:val="0001734E"/>
    <w:rsid w:val="00021E0E"/>
    <w:rsid w:val="00036DEA"/>
    <w:rsid w:val="00052F31"/>
    <w:rsid w:val="00053887"/>
    <w:rsid w:val="00077222"/>
    <w:rsid w:val="000A14AF"/>
    <w:rsid w:val="000A7EA2"/>
    <w:rsid w:val="000C6B56"/>
    <w:rsid w:val="000D1D09"/>
    <w:rsid w:val="000D2F53"/>
    <w:rsid w:val="000E3335"/>
    <w:rsid w:val="000F5AF1"/>
    <w:rsid w:val="00106800"/>
    <w:rsid w:val="00113275"/>
    <w:rsid w:val="0011763B"/>
    <w:rsid w:val="00124D59"/>
    <w:rsid w:val="0013662E"/>
    <w:rsid w:val="001461AF"/>
    <w:rsid w:val="00153C0A"/>
    <w:rsid w:val="001A1E81"/>
    <w:rsid w:val="00203362"/>
    <w:rsid w:val="0024236A"/>
    <w:rsid w:val="002557B4"/>
    <w:rsid w:val="00273377"/>
    <w:rsid w:val="00291DC7"/>
    <w:rsid w:val="00293345"/>
    <w:rsid w:val="002A3F78"/>
    <w:rsid w:val="002D4311"/>
    <w:rsid w:val="00301216"/>
    <w:rsid w:val="003805EE"/>
    <w:rsid w:val="00384E63"/>
    <w:rsid w:val="003A0B68"/>
    <w:rsid w:val="003B218C"/>
    <w:rsid w:val="003C4791"/>
    <w:rsid w:val="003D7713"/>
    <w:rsid w:val="003E2F27"/>
    <w:rsid w:val="00411CDE"/>
    <w:rsid w:val="00436F79"/>
    <w:rsid w:val="00442536"/>
    <w:rsid w:val="004779AA"/>
    <w:rsid w:val="004805AF"/>
    <w:rsid w:val="00492322"/>
    <w:rsid w:val="004F0B4B"/>
    <w:rsid w:val="005178E9"/>
    <w:rsid w:val="00531E60"/>
    <w:rsid w:val="00583FB3"/>
    <w:rsid w:val="005B0157"/>
    <w:rsid w:val="005D0F70"/>
    <w:rsid w:val="005F086F"/>
    <w:rsid w:val="005F3A2A"/>
    <w:rsid w:val="00601930"/>
    <w:rsid w:val="006028CD"/>
    <w:rsid w:val="00614805"/>
    <w:rsid w:val="00614F4A"/>
    <w:rsid w:val="00616144"/>
    <w:rsid w:val="00626205"/>
    <w:rsid w:val="006312F7"/>
    <w:rsid w:val="00631BA3"/>
    <w:rsid w:val="00682753"/>
    <w:rsid w:val="0068642B"/>
    <w:rsid w:val="006B566B"/>
    <w:rsid w:val="00700B64"/>
    <w:rsid w:val="007100A6"/>
    <w:rsid w:val="00727CD9"/>
    <w:rsid w:val="00734670"/>
    <w:rsid w:val="0074187B"/>
    <w:rsid w:val="00745EB8"/>
    <w:rsid w:val="00752DB6"/>
    <w:rsid w:val="00757D68"/>
    <w:rsid w:val="00777701"/>
    <w:rsid w:val="007C5FE7"/>
    <w:rsid w:val="007E1FDF"/>
    <w:rsid w:val="007F4DB3"/>
    <w:rsid w:val="0080685E"/>
    <w:rsid w:val="00820E08"/>
    <w:rsid w:val="00831F6A"/>
    <w:rsid w:val="00860566"/>
    <w:rsid w:val="0086234A"/>
    <w:rsid w:val="00876CC5"/>
    <w:rsid w:val="008B7111"/>
    <w:rsid w:val="008B7957"/>
    <w:rsid w:val="008D0B95"/>
    <w:rsid w:val="008D4D01"/>
    <w:rsid w:val="00922780"/>
    <w:rsid w:val="00926CEE"/>
    <w:rsid w:val="009332D5"/>
    <w:rsid w:val="00951B5A"/>
    <w:rsid w:val="00953321"/>
    <w:rsid w:val="009B54A6"/>
    <w:rsid w:val="009C4990"/>
    <w:rsid w:val="009C6E0B"/>
    <w:rsid w:val="009C73E6"/>
    <w:rsid w:val="009D1C20"/>
    <w:rsid w:val="00A117EB"/>
    <w:rsid w:val="00A35F37"/>
    <w:rsid w:val="00A54009"/>
    <w:rsid w:val="00A547AE"/>
    <w:rsid w:val="00A836BE"/>
    <w:rsid w:val="00A97610"/>
    <w:rsid w:val="00AA3224"/>
    <w:rsid w:val="00AB4448"/>
    <w:rsid w:val="00AB48E8"/>
    <w:rsid w:val="00AB7CF6"/>
    <w:rsid w:val="00AC0B5C"/>
    <w:rsid w:val="00AD7016"/>
    <w:rsid w:val="00B26438"/>
    <w:rsid w:val="00B363FB"/>
    <w:rsid w:val="00B516D1"/>
    <w:rsid w:val="00BA453D"/>
    <w:rsid w:val="00BB42DA"/>
    <w:rsid w:val="00BB7848"/>
    <w:rsid w:val="00BC549A"/>
    <w:rsid w:val="00BC5B38"/>
    <w:rsid w:val="00BE0BDA"/>
    <w:rsid w:val="00BE224A"/>
    <w:rsid w:val="00C06DE7"/>
    <w:rsid w:val="00C21247"/>
    <w:rsid w:val="00C348E6"/>
    <w:rsid w:val="00C35F00"/>
    <w:rsid w:val="00C57D9B"/>
    <w:rsid w:val="00C61E89"/>
    <w:rsid w:val="00C81AA7"/>
    <w:rsid w:val="00C9513E"/>
    <w:rsid w:val="00CB4B61"/>
    <w:rsid w:val="00CB62FE"/>
    <w:rsid w:val="00CE7503"/>
    <w:rsid w:val="00CF027A"/>
    <w:rsid w:val="00D20148"/>
    <w:rsid w:val="00D44337"/>
    <w:rsid w:val="00D44B1D"/>
    <w:rsid w:val="00D613DA"/>
    <w:rsid w:val="00D63ABA"/>
    <w:rsid w:val="00D73DD8"/>
    <w:rsid w:val="00D85B34"/>
    <w:rsid w:val="00DC0C73"/>
    <w:rsid w:val="00DC2E11"/>
    <w:rsid w:val="00DE7ABA"/>
    <w:rsid w:val="00E1335A"/>
    <w:rsid w:val="00E2652A"/>
    <w:rsid w:val="00E66DF1"/>
    <w:rsid w:val="00E80EF6"/>
    <w:rsid w:val="00E92113"/>
    <w:rsid w:val="00E971EC"/>
    <w:rsid w:val="00EA1FBA"/>
    <w:rsid w:val="00EB0758"/>
    <w:rsid w:val="00EC0ADF"/>
    <w:rsid w:val="00EC21A7"/>
    <w:rsid w:val="00ED34F5"/>
    <w:rsid w:val="00EF5171"/>
    <w:rsid w:val="00F00D68"/>
    <w:rsid w:val="00F03F95"/>
    <w:rsid w:val="00F072D0"/>
    <w:rsid w:val="00F430A3"/>
    <w:rsid w:val="00F5382F"/>
    <w:rsid w:val="00F62484"/>
    <w:rsid w:val="00F65E90"/>
    <w:rsid w:val="00F827C7"/>
    <w:rsid w:val="00F9136C"/>
    <w:rsid w:val="00F96759"/>
    <w:rsid w:val="00F97FA3"/>
    <w:rsid w:val="00FA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color w:val="00000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color w:val="00000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4020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</vt:lpstr>
    </vt:vector>
  </TitlesOfParts>
  <Company>Informática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TRIBUNAL1</dc:creator>
  <cp:keywords/>
  <cp:lastModifiedBy>Miriam Cristina Rivero</cp:lastModifiedBy>
  <cp:revision>2</cp:revision>
  <cp:lastPrinted>2014-01-07T10:53:00Z</cp:lastPrinted>
  <dcterms:created xsi:type="dcterms:W3CDTF">2014-01-07T10:54:00Z</dcterms:created>
  <dcterms:modified xsi:type="dcterms:W3CDTF">2014-01-07T10:54:00Z</dcterms:modified>
</cp:coreProperties>
</file>