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60" w:rsidRDefault="008E2A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E2A60" w:rsidRDefault="008E2A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2A60" w:rsidRDefault="008E2A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E2A60" w:rsidRDefault="008E2A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2A60" w:rsidRDefault="008E2A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8E2A60" w:rsidRDefault="008E2A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2A60" w:rsidRPr="00437E3A" w:rsidRDefault="008E2A6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437E3A">
        <w:rPr>
          <w:rFonts w:ascii="Helvetica" w:hAnsi="Helvetica"/>
          <w:b/>
        </w:rPr>
        <w:t xml:space="preserve">(E. E. Nº 2013-17-1-0002765, </w:t>
      </w:r>
      <w:proofErr w:type="spellStart"/>
      <w:r w:rsidRPr="00437E3A">
        <w:rPr>
          <w:rFonts w:ascii="Helvetica" w:hAnsi="Helvetica"/>
          <w:b/>
        </w:rPr>
        <w:t>Ent</w:t>
      </w:r>
      <w:proofErr w:type="spellEnd"/>
      <w:r w:rsidRPr="00437E3A">
        <w:rPr>
          <w:rFonts w:ascii="Helvetica" w:hAnsi="Helvetica"/>
          <w:b/>
        </w:rPr>
        <w:t>. N° 7035/13)</w:t>
      </w:r>
    </w:p>
    <w:p w:rsidR="008E2A60" w:rsidRPr="00437E3A" w:rsidRDefault="008E2A60">
      <w:pPr>
        <w:tabs>
          <w:tab w:val="center" w:pos="4253"/>
        </w:tabs>
        <w:suppressAutoHyphens/>
        <w:jc w:val="center"/>
        <w:rPr>
          <w:spacing w:val="-3"/>
        </w:rPr>
      </w:pPr>
    </w:p>
    <w:p w:rsidR="00E937C0" w:rsidRDefault="00E937C0">
      <w:pPr>
        <w:rPr>
          <w:lang w:val="es-ES_tradnl"/>
        </w:rPr>
      </w:pPr>
    </w:p>
    <w:p w:rsidR="00E937C0" w:rsidRDefault="00C11001" w:rsidP="00B43C48">
      <w:pPr>
        <w:suppressAutoHyphens/>
        <w:spacing w:line="360" w:lineRule="auto"/>
        <w:ind w:firstLine="851"/>
        <w:jc w:val="both"/>
        <w:rPr>
          <w:rFonts w:cs="Arial"/>
          <w:spacing w:val="-3"/>
          <w:lang w:val="es-ES_tradnl"/>
        </w:rPr>
      </w:pPr>
      <w:r>
        <w:rPr>
          <w:rFonts w:cs="Arial"/>
          <w:b/>
          <w:spacing w:val="-3"/>
          <w:lang w:val="es-ES_tradnl"/>
        </w:rPr>
        <w:t xml:space="preserve">VISTO: </w:t>
      </w:r>
      <w:r>
        <w:rPr>
          <w:rFonts w:cs="Arial"/>
          <w:spacing w:val="-3"/>
          <w:lang w:val="es-ES_tradnl"/>
        </w:rPr>
        <w:t>el Oficio Nº 1990/2013 de fecha 10 de diciembre de 2013, remitido por el Ministerio de Vivienda</w:t>
      </w:r>
      <w:r w:rsidR="00437E3A">
        <w:rPr>
          <w:rFonts w:cs="Arial"/>
          <w:spacing w:val="-3"/>
          <w:lang w:val="es-ES_tradnl"/>
        </w:rPr>
        <w:t>,</w:t>
      </w:r>
      <w:r>
        <w:rPr>
          <w:rFonts w:cs="Arial"/>
          <w:spacing w:val="-3"/>
          <w:lang w:val="es-ES_tradnl"/>
        </w:rPr>
        <w:t xml:space="preserve"> Ordenamiento Territorial y Medio Ambiente</w:t>
      </w:r>
      <w:r>
        <w:rPr>
          <w:rFonts w:cs="Arial"/>
          <w:spacing w:val="-3"/>
          <w:lang w:val="es-ES_tradnl"/>
        </w:rPr>
        <w:fldChar w:fldCharType="begin"/>
      </w:r>
      <w:r>
        <w:rPr>
          <w:rFonts w:cs="Arial"/>
          <w:spacing w:val="-3"/>
          <w:lang w:val="es-ES_tradnl"/>
        </w:rPr>
        <w:instrText>FILLIN "" \d ""</w:instrText>
      </w:r>
      <w:r>
        <w:rPr>
          <w:rFonts w:cs="Arial"/>
          <w:spacing w:val="-3"/>
          <w:lang w:val="es-ES_tradnl"/>
        </w:rPr>
        <w:fldChar w:fldCharType="end"/>
      </w:r>
      <w:r w:rsidR="00437E3A">
        <w:rPr>
          <w:rFonts w:cs="Arial"/>
          <w:spacing w:val="-3"/>
          <w:lang w:val="es-ES_tradnl"/>
        </w:rPr>
        <w:t>, mediante el</w:t>
      </w:r>
      <w:r>
        <w:rPr>
          <w:rFonts w:cs="Arial"/>
          <w:spacing w:val="-3"/>
          <w:lang w:val="es-ES_tradnl"/>
        </w:rPr>
        <w:t xml:space="preserve"> cual se comunica la reiteración del gasto relacionado con el Convenio Modificativo a suscribir </w:t>
      </w:r>
      <w:r w:rsidR="00437E3A">
        <w:rPr>
          <w:rFonts w:cs="Arial"/>
          <w:spacing w:val="-3"/>
          <w:lang w:val="es-ES_tradnl"/>
        </w:rPr>
        <w:t>por</w:t>
      </w:r>
      <w:r>
        <w:rPr>
          <w:rFonts w:cs="Arial"/>
          <w:spacing w:val="-3"/>
          <w:lang w:val="es-ES_tradnl"/>
        </w:rPr>
        <w:t xml:space="preserve"> dicha Secretar</w:t>
      </w:r>
      <w:r w:rsidR="00437E3A">
        <w:rPr>
          <w:rFonts w:cs="Arial"/>
          <w:spacing w:val="-3"/>
          <w:lang w:val="es-ES_tradnl"/>
        </w:rPr>
        <w:t>í</w:t>
      </w:r>
      <w:r>
        <w:rPr>
          <w:rFonts w:cs="Arial"/>
          <w:spacing w:val="-3"/>
          <w:lang w:val="es-ES_tradnl"/>
        </w:rPr>
        <w:t>a y el Ministerio de Defensa Nacional, con el objeto de atender la problemática habitacional de las familias de efectivos militares de bajos ingresos;</w:t>
      </w:r>
    </w:p>
    <w:p w:rsidR="00E937C0" w:rsidRDefault="00C11001" w:rsidP="00B43C48">
      <w:pPr>
        <w:pStyle w:val="Florete-FtoPrrafo"/>
        <w:spacing w:line="360" w:lineRule="auto"/>
        <w:ind w:firstLine="851"/>
        <w:rPr>
          <w:spacing w:val="-3"/>
          <w:lang w:val="es-ES_tradnl"/>
        </w:rPr>
      </w:pPr>
      <w:r>
        <w:rPr>
          <w:b/>
          <w:spacing w:val="-3"/>
          <w:lang w:val="es-ES_tradnl"/>
        </w:rPr>
        <w:t>RESULTANDO: 1)</w:t>
      </w:r>
      <w:r>
        <w:rPr>
          <w:spacing w:val="-3"/>
          <w:lang w:val="es-ES_tradnl"/>
        </w:rPr>
        <w:t xml:space="preserve"> que en Sesión del 26.8.04, este Tribunal, intervino el gasto equivalente a UR 11.273 y cometió la intervención del gasto de UR 63.877;   derivado del otorgamiento de 90 soluciones habitacionales para personal militar, en el predio de Aparicio Saravia y </w:t>
      </w:r>
      <w:proofErr w:type="spellStart"/>
      <w:r>
        <w:rPr>
          <w:spacing w:val="-3"/>
          <w:lang w:val="es-ES_tradnl"/>
        </w:rPr>
        <w:t>Chon</w:t>
      </w:r>
      <w:proofErr w:type="spellEnd"/>
      <w:r>
        <w:rPr>
          <w:spacing w:val="-3"/>
          <w:lang w:val="es-ES_tradnl"/>
        </w:rPr>
        <w:t>,  aportando el Ministerio de Vivienda un predio (</w:t>
      </w:r>
      <w:r w:rsidR="00437E3A">
        <w:rPr>
          <w:spacing w:val="-3"/>
          <w:lang w:val="es-ES_tradnl"/>
        </w:rPr>
        <w:t>P</w:t>
      </w:r>
      <w:r>
        <w:rPr>
          <w:spacing w:val="-3"/>
          <w:lang w:val="es-ES_tradnl"/>
        </w:rPr>
        <w:t>adrones números 423.190 y 425</w:t>
      </w:r>
      <w:r w:rsidR="00437E3A">
        <w:rPr>
          <w:spacing w:val="-3"/>
          <w:lang w:val="es-ES_tradnl"/>
        </w:rPr>
        <w:t>.</w:t>
      </w:r>
      <w:r>
        <w:rPr>
          <w:spacing w:val="-3"/>
          <w:lang w:val="es-ES_tradnl"/>
        </w:rPr>
        <w:t>475 );</w:t>
      </w:r>
    </w:p>
    <w:p w:rsidR="00E937C0" w:rsidRDefault="00C11001" w:rsidP="00F564E9">
      <w:pPr>
        <w:pStyle w:val="Florete-FtoPrrafo"/>
        <w:spacing w:line="360" w:lineRule="auto"/>
        <w:ind w:firstLine="2694"/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que </w:t>
      </w:r>
      <w:r>
        <w:t xml:space="preserve">en Sesión del </w:t>
      </w:r>
      <w:r w:rsidR="00437E3A">
        <w:t>0</w:t>
      </w:r>
      <w:r>
        <w:t>5.</w:t>
      </w:r>
      <w:r w:rsidR="00437E3A">
        <w:t>0</w:t>
      </w:r>
      <w:r>
        <w:t>8.09, el Tribunal dejó sin efecto la Resolución del 26.</w:t>
      </w:r>
      <w:r w:rsidR="00437E3A">
        <w:t>0</w:t>
      </w:r>
      <w:r>
        <w:t xml:space="preserve">8.04 y cometió al Contador Auditor </w:t>
      </w:r>
      <w:r w:rsidR="00437E3A">
        <w:t>ante</w:t>
      </w:r>
      <w:r>
        <w:t xml:space="preserve"> el Organismo la intervención del gasto de UR 154.050 relativo a 90 soluciones habitacionales para personal militar en el predio sito en Aparicio Saravia y </w:t>
      </w:r>
      <w:proofErr w:type="spellStart"/>
      <w:r>
        <w:t>Chon</w:t>
      </w:r>
      <w:proofErr w:type="spellEnd"/>
      <w:r>
        <w:t>;</w:t>
      </w:r>
    </w:p>
    <w:p w:rsidR="00E937C0" w:rsidRDefault="00C11001" w:rsidP="00904456">
      <w:pPr>
        <w:spacing w:line="360" w:lineRule="auto"/>
        <w:ind w:firstLine="2694"/>
        <w:jc w:val="both"/>
      </w:pPr>
      <w:r>
        <w:rPr>
          <w:b/>
          <w:bCs/>
        </w:rPr>
        <w:t xml:space="preserve">3) </w:t>
      </w:r>
      <w:r>
        <w:t xml:space="preserve">que posteriormente el Ministerio actuante remitió Proyecto de Convenio Modificativo, adecuando el </w:t>
      </w:r>
      <w:r w:rsidR="00437E3A">
        <w:t>C</w:t>
      </w:r>
      <w:r>
        <w:t>onvenio suscrito el 27.</w:t>
      </w:r>
      <w:r w:rsidR="00437E3A">
        <w:t>0</w:t>
      </w:r>
      <w:r>
        <w:t>9.04 (</w:t>
      </w:r>
      <w:r w:rsidR="00437E3A">
        <w:t>C</w:t>
      </w:r>
      <w:r>
        <w:t xml:space="preserve">láusulas segunda, cuarta y quinta), suprimiendo </w:t>
      </w:r>
      <w:r w:rsidR="00437E3A">
        <w:t xml:space="preserve">las </w:t>
      </w:r>
      <w:r>
        <w:t>cláusulas séptima y octava</w:t>
      </w:r>
      <w:r w:rsidR="00437E3A">
        <w:t>,</w:t>
      </w:r>
      <w:r>
        <w:t xml:space="preserve"> indic</w:t>
      </w:r>
      <w:r w:rsidR="00437E3A">
        <w:t>a</w:t>
      </w:r>
      <w:r>
        <w:t xml:space="preserve">ndo que el desembolso entre los </w:t>
      </w:r>
      <w:r w:rsidR="00437E3A">
        <w:t>Ejercicios 2013 y 2016 asciende</w:t>
      </w:r>
      <w:r>
        <w:t xml:space="preserve"> a </w:t>
      </w:r>
      <w:r w:rsidR="00437E3A">
        <w:t xml:space="preserve">UR </w:t>
      </w:r>
      <w:proofErr w:type="gramStart"/>
      <w:r>
        <w:t>171.275 ;</w:t>
      </w:r>
      <w:proofErr w:type="gramEnd"/>
      <w:r>
        <w:t xml:space="preserve">                          </w:t>
      </w:r>
    </w:p>
    <w:p w:rsidR="00E937C0" w:rsidRDefault="00C11001" w:rsidP="00904456">
      <w:pPr>
        <w:spacing w:line="360" w:lineRule="auto"/>
        <w:ind w:firstLine="2694"/>
        <w:jc w:val="both"/>
      </w:pPr>
      <w:r>
        <w:rPr>
          <w:b/>
          <w:bCs/>
          <w:spacing w:val="-3"/>
          <w:lang w:val="es-ES_tradnl"/>
        </w:rPr>
        <w:t xml:space="preserve">4) </w:t>
      </w:r>
      <w:r w:rsidR="00437E3A">
        <w:rPr>
          <w:bCs/>
          <w:spacing w:val="-3"/>
          <w:lang w:val="es-ES_tradnl"/>
        </w:rPr>
        <w:t xml:space="preserve">que éste Tribunal en </w:t>
      </w:r>
      <w:r w:rsidR="008E2A60">
        <w:rPr>
          <w:bCs/>
          <w:spacing w:val="-3"/>
          <w:lang w:val="es-ES_tradnl"/>
        </w:rPr>
        <w:t>S</w:t>
      </w:r>
      <w:r>
        <w:rPr>
          <w:bCs/>
          <w:spacing w:val="-3"/>
          <w:lang w:val="es-ES_tradnl"/>
        </w:rPr>
        <w:t>esión del 12.</w:t>
      </w:r>
      <w:r w:rsidR="00437E3A">
        <w:rPr>
          <w:bCs/>
          <w:spacing w:val="-3"/>
          <w:lang w:val="es-ES_tradnl"/>
        </w:rPr>
        <w:t>0</w:t>
      </w:r>
      <w:r>
        <w:rPr>
          <w:bCs/>
          <w:spacing w:val="-3"/>
          <w:lang w:val="es-ES_tradnl"/>
        </w:rPr>
        <w:t>6.13</w:t>
      </w:r>
      <w:r>
        <w:rPr>
          <w:b/>
          <w:bCs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 xml:space="preserve">dejó sin efecto la resolución del </w:t>
      </w:r>
      <w:r w:rsidR="00437E3A">
        <w:rPr>
          <w:bCs/>
          <w:spacing w:val="-3"/>
          <w:lang w:val="es-ES_tradnl"/>
        </w:rPr>
        <w:t>0</w:t>
      </w:r>
      <w:r>
        <w:rPr>
          <w:bCs/>
          <w:spacing w:val="-3"/>
          <w:lang w:val="es-ES_tradnl"/>
        </w:rPr>
        <w:t>5.</w:t>
      </w:r>
      <w:r w:rsidR="00437E3A">
        <w:rPr>
          <w:bCs/>
          <w:spacing w:val="-3"/>
          <w:lang w:val="es-ES_tradnl"/>
        </w:rPr>
        <w:t>0</w:t>
      </w:r>
      <w:r>
        <w:rPr>
          <w:bCs/>
          <w:spacing w:val="-3"/>
          <w:lang w:val="es-ES_tradnl"/>
        </w:rPr>
        <w:t xml:space="preserve">8.09 y observó el gasto de UR 171.275, en virtud que </w:t>
      </w:r>
      <w:r>
        <w:lastRenderedPageBreak/>
        <w:t xml:space="preserve">la adjudicación directa de los predios en cumplimiento del Convenio suscripto contravino el </w:t>
      </w:r>
      <w:r w:rsidR="008E2A60">
        <w:t>A</w:t>
      </w:r>
      <w:r>
        <w:t xml:space="preserve">rtículo 365 de la Ley 18.362, dado que la enajenación a título gratuito de los padrones se podría haber realizado exclusivamente a </w:t>
      </w:r>
      <w:r w:rsidR="00420CE7">
        <w:t>O</w:t>
      </w:r>
      <w:r>
        <w:t xml:space="preserve">rganismos públicos nacionales o departamentales que desarrollen programas de vivienda de interés social y no a una cooperativa de vivienda; </w:t>
      </w:r>
    </w:p>
    <w:p w:rsidR="00E937C0" w:rsidRDefault="00C11001" w:rsidP="00904456">
      <w:pPr>
        <w:spacing w:line="360" w:lineRule="auto"/>
        <w:ind w:firstLine="2694"/>
        <w:jc w:val="both"/>
      </w:pPr>
      <w:r>
        <w:rPr>
          <w:b/>
        </w:rPr>
        <w:t>5)</w:t>
      </w:r>
      <w:r>
        <w:t xml:space="preserve"> que en la oportunidad se remite Resolución del Poder Ejecutivo de fecha </w:t>
      </w:r>
      <w:r w:rsidR="00FD4EE9">
        <w:t>0</w:t>
      </w:r>
      <w:r>
        <w:t xml:space="preserve">4.12.13 reiterando el gasto de UR 171.275, expresando que de lo contrario se incumplirá el </w:t>
      </w:r>
      <w:r w:rsidR="00420CE7">
        <w:t>C</w:t>
      </w:r>
      <w:r>
        <w:t>onvenio suscrito con el Ministerio de Defensa, con el perjuicio para las familias beneficiarias que aguardan desde hace años su solución habitacional;</w:t>
      </w:r>
    </w:p>
    <w:p w:rsidR="00E937C0" w:rsidRDefault="00C11001" w:rsidP="00B43C48">
      <w:pPr>
        <w:suppressAutoHyphens/>
        <w:spacing w:line="360" w:lineRule="auto"/>
        <w:ind w:firstLine="851"/>
        <w:jc w:val="both"/>
      </w:pPr>
      <w:r>
        <w:rPr>
          <w:b/>
        </w:rPr>
        <w:t>CONSIDERANDO</w:t>
      </w:r>
      <w:r w:rsidR="008E2A60">
        <w:rPr>
          <w:b/>
        </w:rPr>
        <w:t>:</w:t>
      </w:r>
      <w:r>
        <w:rPr>
          <w:rFonts w:cs="Arial"/>
        </w:rPr>
        <w:t xml:space="preserve"> que se mantiene incambiada la causal de observación  formuladas por este Tribunal en su acuerdo de fecha 12.6.13;</w:t>
      </w:r>
    </w:p>
    <w:p w:rsidR="00E937C0" w:rsidRDefault="00C11001" w:rsidP="00B43C48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preceptuado en el </w:t>
      </w:r>
      <w:r w:rsidR="008E2A60">
        <w:rPr>
          <w:spacing w:val="-3"/>
          <w:lang w:val="es-ES_tradnl"/>
        </w:rPr>
        <w:t>A</w:t>
      </w:r>
      <w:r>
        <w:rPr>
          <w:spacing w:val="-3"/>
          <w:lang w:val="es-ES_tradnl"/>
        </w:rPr>
        <w:t>rt</w:t>
      </w:r>
      <w:r w:rsidR="008E2A60">
        <w:rPr>
          <w:spacing w:val="-3"/>
          <w:lang w:val="es-ES_tradnl"/>
        </w:rPr>
        <w:t xml:space="preserve">ículo </w:t>
      </w:r>
      <w:r>
        <w:rPr>
          <w:spacing w:val="-3"/>
          <w:lang w:val="es-ES_tradnl"/>
        </w:rPr>
        <w:t>211</w:t>
      </w:r>
      <w:r w:rsidR="00420CE7">
        <w:rPr>
          <w:spacing w:val="-3"/>
          <w:lang w:val="es-ES_tradnl"/>
        </w:rPr>
        <w:t>,</w:t>
      </w:r>
      <w:r>
        <w:rPr>
          <w:spacing w:val="-3"/>
          <w:lang w:val="es-ES_tradnl"/>
        </w:rPr>
        <w:t xml:space="preserve"> </w:t>
      </w:r>
      <w:r w:rsidR="00420CE7">
        <w:rPr>
          <w:spacing w:val="-3"/>
          <w:lang w:val="es-ES_tradnl"/>
        </w:rPr>
        <w:t>Literal</w:t>
      </w:r>
      <w:r>
        <w:rPr>
          <w:spacing w:val="-3"/>
          <w:lang w:val="es-ES_tradnl"/>
        </w:rPr>
        <w:t xml:space="preserve"> B) de la Constitución de la República</w:t>
      </w:r>
      <w:r w:rsidR="008E2A60">
        <w:rPr>
          <w:spacing w:val="-3"/>
          <w:lang w:val="es-ES_tradnl"/>
        </w:rPr>
        <w:t>;</w:t>
      </w:r>
    </w:p>
    <w:p w:rsidR="00E937C0" w:rsidRDefault="00C11001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E937C0" w:rsidRDefault="00C11001" w:rsidP="008E2A60">
      <w:pPr>
        <w:spacing w:line="360" w:lineRule="auto"/>
        <w:jc w:val="both"/>
        <w:rPr>
          <w:rFonts w:cs="Arial"/>
        </w:rPr>
      </w:pPr>
      <w:r w:rsidRPr="00C11001">
        <w:rPr>
          <w:rFonts w:cs="Arial"/>
          <w:b/>
        </w:rPr>
        <w:t>1)</w:t>
      </w:r>
      <w:r>
        <w:rPr>
          <w:rFonts w:cs="Arial"/>
        </w:rPr>
        <w:t xml:space="preserve"> Mantener la observación de fecha 12.6.13;</w:t>
      </w:r>
    </w:p>
    <w:p w:rsidR="00E937C0" w:rsidRDefault="00C11001" w:rsidP="00C11001">
      <w:pPr>
        <w:spacing w:line="360" w:lineRule="auto"/>
        <w:jc w:val="both"/>
        <w:rPr>
          <w:rFonts w:cs="Arial"/>
        </w:rPr>
      </w:pPr>
      <w:r w:rsidRPr="00C11001">
        <w:rPr>
          <w:rFonts w:cs="Arial"/>
          <w:b/>
        </w:rPr>
        <w:t>2)</w:t>
      </w:r>
      <w:r>
        <w:rPr>
          <w:rFonts w:cs="Arial"/>
        </w:rPr>
        <w:t xml:space="preserve"> Comunicar al Poder Ejecutivo y al Contador Auditor; y</w:t>
      </w:r>
    </w:p>
    <w:p w:rsidR="00C11001" w:rsidRPr="00C11001" w:rsidRDefault="00C11001" w:rsidP="00C11001">
      <w:pPr>
        <w:spacing w:line="360" w:lineRule="auto"/>
        <w:jc w:val="both"/>
        <w:rPr>
          <w:rFonts w:cs="Arial"/>
          <w:b/>
          <w:spacing w:val="-3"/>
          <w:lang w:val="es-ES_tradnl"/>
        </w:rPr>
      </w:pPr>
      <w:r w:rsidRPr="00C11001">
        <w:rPr>
          <w:rFonts w:cs="Arial"/>
          <w:b/>
        </w:rPr>
        <w:t>3)</w:t>
      </w:r>
      <w:r>
        <w:rPr>
          <w:rFonts w:cs="Arial"/>
          <w:b/>
        </w:rPr>
        <w:t xml:space="preserve"> </w:t>
      </w:r>
      <w:r w:rsidRPr="00C11001">
        <w:rPr>
          <w:rFonts w:cs="Arial"/>
        </w:rPr>
        <w:t>Dar cuenta a la Asamblea General.</w:t>
      </w:r>
    </w:p>
    <w:p w:rsidR="00E937C0" w:rsidRDefault="00C11001" w:rsidP="00C11001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E937C0" w:rsidSect="00C11001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56" w:rsidRDefault="00904456">
      <w:r>
        <w:separator/>
      </w:r>
    </w:p>
  </w:endnote>
  <w:endnote w:type="continuationSeparator" w:id="0">
    <w:p w:rsidR="00904456" w:rsidRDefault="0090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56" w:rsidRDefault="009044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4456" w:rsidRDefault="009044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56" w:rsidRDefault="009044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7F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4456" w:rsidRDefault="009044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56" w:rsidRDefault="00904456">
      <w:r>
        <w:separator/>
      </w:r>
    </w:p>
  </w:footnote>
  <w:footnote w:type="continuationSeparator" w:id="0">
    <w:p w:rsidR="00904456" w:rsidRDefault="0090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1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6FA34F7"/>
    <w:multiLevelType w:val="hybridMultilevel"/>
    <w:tmpl w:val="620827EC"/>
    <w:lvl w:ilvl="0" w:tplc="2CEA5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67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48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2F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AE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4D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4F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2A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ED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138BD"/>
    <w:multiLevelType w:val="singleLevel"/>
    <w:tmpl w:val="DC927176"/>
    <w:lvl w:ilvl="0">
      <w:start w:val="5"/>
      <w:numFmt w:val="decimal"/>
      <w:lvlText w:val="%1)"/>
      <w:lvlJc w:val="left"/>
      <w:pPr>
        <w:tabs>
          <w:tab w:val="num" w:pos="2295"/>
        </w:tabs>
        <w:ind w:left="2295" w:hanging="360"/>
      </w:pPr>
      <w:rPr>
        <w:rFonts w:hint="default"/>
      </w:rPr>
    </w:lvl>
  </w:abstractNum>
  <w:abstractNum w:abstractNumId="3">
    <w:nsid w:val="32CE334C"/>
    <w:multiLevelType w:val="singleLevel"/>
    <w:tmpl w:val="E572C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7F804B5"/>
    <w:multiLevelType w:val="singleLevel"/>
    <w:tmpl w:val="9DB483A8"/>
    <w:lvl w:ilvl="0">
      <w:start w:val="5"/>
      <w:numFmt w:val="decimal"/>
      <w:lvlText w:val="%1)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abstractNum w:abstractNumId="5">
    <w:nsid w:val="76475FE7"/>
    <w:multiLevelType w:val="hybridMultilevel"/>
    <w:tmpl w:val="DCCC024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7113CE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213727"/>
    <w:multiLevelType w:val="hybridMultilevel"/>
    <w:tmpl w:val="63C27EC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60"/>
    <w:rsid w:val="00277F5C"/>
    <w:rsid w:val="00420CE7"/>
    <w:rsid w:val="00437E3A"/>
    <w:rsid w:val="008E2A60"/>
    <w:rsid w:val="00904456"/>
    <w:rsid w:val="00B43C48"/>
    <w:rsid w:val="00C11001"/>
    <w:rsid w:val="00E937C0"/>
    <w:rsid w:val="00F564E9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color w:val="00000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-720"/>
        <w:tab w:val="left" w:pos="0"/>
      </w:tabs>
      <w:suppressAutoHyphens/>
      <w:spacing w:line="360" w:lineRule="auto"/>
      <w:ind w:firstLine="737"/>
      <w:jc w:val="both"/>
      <w:outlineLvl w:val="1"/>
    </w:pPr>
    <w:rPr>
      <w:i/>
      <w:snapToGrid w:val="0"/>
      <w:spacing w:val="-3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firstLine="720"/>
      <w:jc w:val="center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Bookman Old Style" w:hAnsi="Bookman Old Style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ES_tradnl"/>
    </w:rPr>
  </w:style>
  <w:style w:type="paragraph" w:styleId="Sangradetextonormal">
    <w:name w:val="Body Text Indent"/>
    <w:basedOn w:val="Normal"/>
    <w:semiHidden/>
    <w:pPr>
      <w:suppressAutoHyphens/>
      <w:spacing w:line="360" w:lineRule="auto"/>
      <w:ind w:left="360"/>
      <w:jc w:val="both"/>
    </w:pPr>
  </w:style>
  <w:style w:type="paragraph" w:customStyle="1" w:styleId="Florete-FtoPrrafo">
    <w:name w:val="Florete-Fto.Párrafo."/>
    <w:basedOn w:val="Normal"/>
    <w:pPr>
      <w:spacing w:line="520" w:lineRule="exact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color w:val="00000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-720"/>
        <w:tab w:val="left" w:pos="0"/>
      </w:tabs>
      <w:suppressAutoHyphens/>
      <w:spacing w:line="360" w:lineRule="auto"/>
      <w:ind w:firstLine="737"/>
      <w:jc w:val="both"/>
      <w:outlineLvl w:val="1"/>
    </w:pPr>
    <w:rPr>
      <w:i/>
      <w:snapToGrid w:val="0"/>
      <w:spacing w:val="-3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firstLine="720"/>
      <w:jc w:val="center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Bookman Old Style" w:hAnsi="Bookman Old Style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ES_tradnl"/>
    </w:rPr>
  </w:style>
  <w:style w:type="paragraph" w:styleId="Sangradetextonormal">
    <w:name w:val="Body Text Indent"/>
    <w:basedOn w:val="Normal"/>
    <w:semiHidden/>
    <w:pPr>
      <w:suppressAutoHyphens/>
      <w:spacing w:line="360" w:lineRule="auto"/>
      <w:ind w:left="360"/>
      <w:jc w:val="both"/>
    </w:pPr>
  </w:style>
  <w:style w:type="paragraph" w:customStyle="1" w:styleId="Florete-FtoPrrafo">
    <w:name w:val="Florete-Fto.Párrafo."/>
    <w:basedOn w:val="Normal"/>
    <w:pPr>
      <w:spacing w:line="520" w:lineRule="exact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LICITACION  PUBLICA</vt:lpstr>
    </vt:vector>
  </TitlesOfParts>
  <Company>Teccin &amp; Ma's Mouse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LICITACION  PUBLICA</dc:title>
  <dc:subject/>
  <dc:creator>Esc. Graciela Lores</dc:creator>
  <cp:keywords/>
  <cp:lastModifiedBy> </cp:lastModifiedBy>
  <cp:revision>9</cp:revision>
  <cp:lastPrinted>2014-01-03T10:55:00Z</cp:lastPrinted>
  <dcterms:created xsi:type="dcterms:W3CDTF">2014-01-03T10:56:00Z</dcterms:created>
  <dcterms:modified xsi:type="dcterms:W3CDTF">2014-02-04T16:04:00Z</dcterms:modified>
</cp:coreProperties>
</file>