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35" w:rsidRDefault="00230D3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230D35" w:rsidRDefault="00230D3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30D35" w:rsidRDefault="00230D3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30D35" w:rsidRDefault="00230D3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30D35" w:rsidRDefault="00230D3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230D35" w:rsidRDefault="00230D3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30D35" w:rsidRPr="00563757" w:rsidRDefault="00230D35" w:rsidP="00563757">
      <w:pPr>
        <w:tabs>
          <w:tab w:val="center" w:pos="4253"/>
        </w:tabs>
        <w:suppressAutoHyphens/>
        <w:jc w:val="center"/>
        <w:rPr>
          <w:rFonts w:cs="Arial"/>
          <w:b/>
          <w:lang w:val="es-MX"/>
        </w:rPr>
      </w:pPr>
      <w:r w:rsidRPr="00563757">
        <w:rPr>
          <w:rFonts w:cs="Arial"/>
          <w:b/>
          <w:lang w:val="es-ES_tradnl"/>
        </w:rPr>
        <w:t xml:space="preserve">(E. E. Nº </w:t>
      </w:r>
      <w:r>
        <w:rPr>
          <w:rFonts w:cs="Arial"/>
          <w:b/>
          <w:lang w:val="es-ES_tradnl"/>
        </w:rPr>
        <w:t>2013-17-1-0008382,</w:t>
      </w:r>
      <w:r w:rsidRPr="00563757">
        <w:rPr>
          <w:rFonts w:cs="Arial"/>
          <w:b/>
        </w:rPr>
        <w:t xml:space="preserve"> </w:t>
      </w:r>
      <w:r w:rsidRPr="00563757">
        <w:rPr>
          <w:rFonts w:cs="Arial"/>
          <w:b/>
          <w:lang w:val="es-MX"/>
        </w:rPr>
        <w:t>E. N°</w:t>
      </w:r>
      <w:r>
        <w:rPr>
          <w:rFonts w:cs="Arial"/>
          <w:b/>
          <w:lang w:val="es-MX"/>
        </w:rPr>
        <w:t xml:space="preserve"> 7120/13</w:t>
      </w:r>
      <w:r w:rsidRPr="00563757">
        <w:rPr>
          <w:rFonts w:cs="Arial"/>
          <w:b/>
          <w:lang w:val="es-MX"/>
        </w:rPr>
        <w:t>)</w:t>
      </w:r>
    </w:p>
    <w:p w:rsidR="00230D35" w:rsidRDefault="00230D35"/>
    <w:p w:rsidR="00307084" w:rsidRDefault="00307084" w:rsidP="0015389A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VISTO:</w:t>
      </w:r>
      <w:r>
        <w:rPr>
          <w:rFonts w:cs="Arial"/>
        </w:rPr>
        <w:t xml:space="preserve"> las actuaciones remitidas por la Intendencia de Rivera, relacionadas con la reiteración del gasto</w:t>
      </w:r>
      <w:r w:rsidR="005E7D8D">
        <w:rPr>
          <w:rFonts w:cs="Arial"/>
        </w:rPr>
        <w:t>,</w:t>
      </w:r>
      <w:r>
        <w:rPr>
          <w:rFonts w:cs="Arial"/>
        </w:rPr>
        <w:t xml:space="preserve"> derivado de la contratación dire</w:t>
      </w:r>
      <w:r w:rsidR="00276AED">
        <w:rPr>
          <w:rFonts w:cs="Arial"/>
        </w:rPr>
        <w:t>cta</w:t>
      </w:r>
      <w:r w:rsidR="00E87FC5">
        <w:rPr>
          <w:rFonts w:cs="Arial"/>
        </w:rPr>
        <w:t xml:space="preserve"> c</w:t>
      </w:r>
      <w:r w:rsidR="009160EA">
        <w:rPr>
          <w:rFonts w:cs="Arial"/>
        </w:rPr>
        <w:t xml:space="preserve">on la firma </w:t>
      </w:r>
      <w:proofErr w:type="spellStart"/>
      <w:r w:rsidR="009160EA">
        <w:rPr>
          <w:rFonts w:cs="Arial"/>
        </w:rPr>
        <w:t>Niensur</w:t>
      </w:r>
      <w:proofErr w:type="spellEnd"/>
      <w:r w:rsidR="009160EA">
        <w:rPr>
          <w:rFonts w:cs="Arial"/>
        </w:rPr>
        <w:t xml:space="preserve"> para la adq</w:t>
      </w:r>
      <w:r w:rsidR="00626998">
        <w:rPr>
          <w:rFonts w:cs="Arial"/>
        </w:rPr>
        <w:t>uisición de 15.000 m3 de balast</w:t>
      </w:r>
      <w:r w:rsidR="009160EA">
        <w:rPr>
          <w:rFonts w:cs="Arial"/>
        </w:rPr>
        <w:t>o</w:t>
      </w:r>
      <w:r w:rsidR="00CD2C41">
        <w:rPr>
          <w:rFonts w:cs="Arial"/>
        </w:rPr>
        <w:t xml:space="preserve">; </w:t>
      </w:r>
      <w:r>
        <w:rPr>
          <w:rFonts w:cs="Arial"/>
        </w:rPr>
        <w:t xml:space="preserve">    </w:t>
      </w:r>
    </w:p>
    <w:p w:rsidR="001F598C" w:rsidRDefault="00307084" w:rsidP="0015389A">
      <w:pPr>
        <w:spacing w:line="360" w:lineRule="auto"/>
        <w:ind w:firstLine="851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RESULTANDO: </w:t>
      </w:r>
      <w:r w:rsidR="001F598C">
        <w:rPr>
          <w:rFonts w:cs="Arial"/>
          <w:b/>
          <w:bCs/>
        </w:rPr>
        <w:t xml:space="preserve">1) </w:t>
      </w:r>
      <w:r w:rsidR="00BF1FD7">
        <w:rPr>
          <w:rFonts w:cs="Arial"/>
          <w:bCs/>
        </w:rPr>
        <w:t xml:space="preserve">que </w:t>
      </w:r>
      <w:r w:rsidR="009160EA">
        <w:rPr>
          <w:rFonts w:cs="Arial"/>
          <w:bCs/>
        </w:rPr>
        <w:t xml:space="preserve">mediante Decreto Nº 10376 de fecha 23/10/13 el Intendente </w:t>
      </w:r>
      <w:r w:rsidR="005A4C9F">
        <w:rPr>
          <w:rFonts w:cs="Arial"/>
          <w:bCs/>
        </w:rPr>
        <w:t>autorizó</w:t>
      </w:r>
      <w:r w:rsidR="009160EA">
        <w:rPr>
          <w:rFonts w:cs="Arial"/>
          <w:bCs/>
        </w:rPr>
        <w:t xml:space="preserve"> el pago de 15.000 m3 de balastro por un precio de $ 200 el m3;</w:t>
      </w:r>
      <w:r w:rsidR="00E87FC5">
        <w:rPr>
          <w:rFonts w:cs="Arial"/>
          <w:bCs/>
        </w:rPr>
        <w:t xml:space="preserve"> </w:t>
      </w:r>
      <w:r w:rsidR="00C20DC3">
        <w:rPr>
          <w:rFonts w:cs="Arial"/>
          <w:bCs/>
        </w:rPr>
        <w:t xml:space="preserve"> </w:t>
      </w:r>
      <w:r w:rsidR="001F598C">
        <w:rPr>
          <w:rFonts w:cs="Arial"/>
          <w:b/>
          <w:bCs/>
        </w:rPr>
        <w:t xml:space="preserve"> </w:t>
      </w:r>
    </w:p>
    <w:p w:rsidR="00307084" w:rsidRPr="00276AED" w:rsidRDefault="00307084" w:rsidP="0015389A">
      <w:pPr>
        <w:spacing w:line="360" w:lineRule="auto"/>
        <w:ind w:firstLine="2694"/>
        <w:jc w:val="both"/>
      </w:pPr>
      <w:r>
        <w:rPr>
          <w:b/>
          <w:bCs/>
        </w:rPr>
        <w:t>2)</w:t>
      </w:r>
      <w:r>
        <w:t xml:space="preserve"> </w:t>
      </w:r>
      <w:r w:rsidR="00E7686F">
        <w:rPr>
          <w:rFonts w:cs="Arial"/>
        </w:rPr>
        <w:t>que</w:t>
      </w:r>
      <w:r>
        <w:rPr>
          <w:rFonts w:cs="Arial"/>
        </w:rPr>
        <w:t xml:space="preserve"> la </w:t>
      </w:r>
      <w:r w:rsidR="007C7934">
        <w:rPr>
          <w:rFonts w:cs="Arial"/>
        </w:rPr>
        <w:t xml:space="preserve">Contadora Delegada, con fecha </w:t>
      </w:r>
      <w:r w:rsidR="009160EA">
        <w:rPr>
          <w:rFonts w:cs="Arial"/>
        </w:rPr>
        <w:t>29</w:t>
      </w:r>
      <w:r w:rsidR="00E87FC5">
        <w:rPr>
          <w:rFonts w:cs="Arial"/>
        </w:rPr>
        <w:t>/10</w:t>
      </w:r>
      <w:r>
        <w:rPr>
          <w:rFonts w:cs="Arial"/>
        </w:rPr>
        <w:t>/1</w:t>
      </w:r>
      <w:r w:rsidR="0057543B">
        <w:rPr>
          <w:rFonts w:cs="Arial"/>
        </w:rPr>
        <w:t>3</w:t>
      </w:r>
      <w:r w:rsidR="001127AC">
        <w:rPr>
          <w:rFonts w:cs="Arial"/>
        </w:rPr>
        <w:t>, observó  el</w:t>
      </w:r>
      <w:r w:rsidR="00276AED">
        <w:rPr>
          <w:rFonts w:cs="Arial"/>
        </w:rPr>
        <w:t xml:space="preserve"> gasto </w:t>
      </w:r>
      <w:r w:rsidR="00E7686F">
        <w:rPr>
          <w:rFonts w:cs="Arial"/>
        </w:rPr>
        <w:t>de</w:t>
      </w:r>
      <w:r w:rsidR="009160EA">
        <w:rPr>
          <w:rFonts w:cs="Arial"/>
        </w:rPr>
        <w:t xml:space="preserve"> $ 300.000</w:t>
      </w:r>
      <w:r w:rsidR="00E66577">
        <w:rPr>
          <w:rFonts w:cs="Arial"/>
        </w:rPr>
        <w:t xml:space="preserve">, en virtud </w:t>
      </w:r>
      <w:r>
        <w:rPr>
          <w:rFonts w:cs="Arial"/>
        </w:rPr>
        <w:t xml:space="preserve">que se contravino </w:t>
      </w:r>
      <w:r w:rsidR="00E87FC5">
        <w:rPr>
          <w:rFonts w:cs="Arial"/>
        </w:rPr>
        <w:t xml:space="preserve">lo dispuesto  por </w:t>
      </w:r>
      <w:r w:rsidR="009160EA">
        <w:rPr>
          <w:rFonts w:cs="Arial"/>
        </w:rPr>
        <w:t>el</w:t>
      </w:r>
      <w:r w:rsidR="000F64A3">
        <w:rPr>
          <w:rFonts w:cs="Arial"/>
        </w:rPr>
        <w:t xml:space="preserve"> </w:t>
      </w:r>
      <w:r w:rsidR="00230D35">
        <w:rPr>
          <w:rFonts w:cs="Arial"/>
        </w:rPr>
        <w:t>A</w:t>
      </w:r>
      <w:r w:rsidR="000F64A3">
        <w:rPr>
          <w:rFonts w:cs="Arial"/>
        </w:rPr>
        <w:t>rtículo 15</w:t>
      </w:r>
      <w:r>
        <w:rPr>
          <w:rFonts w:cs="Arial"/>
        </w:rPr>
        <w:t xml:space="preserve"> </w:t>
      </w:r>
      <w:r w:rsidR="009160EA">
        <w:rPr>
          <w:rFonts w:cs="Arial"/>
        </w:rPr>
        <w:t xml:space="preserve">del T.O.C.A.F. </w:t>
      </w:r>
      <w:r>
        <w:rPr>
          <w:rFonts w:cs="Arial"/>
        </w:rPr>
        <w:t xml:space="preserve">al </w:t>
      </w:r>
      <w:r w:rsidR="00F408CE">
        <w:rPr>
          <w:rFonts w:cs="Arial"/>
        </w:rPr>
        <w:t>comprometer</w:t>
      </w:r>
      <w:r w:rsidR="00626998">
        <w:rPr>
          <w:rFonts w:cs="Arial"/>
        </w:rPr>
        <w:t xml:space="preserve"> </w:t>
      </w:r>
      <w:r w:rsidR="00F408CE">
        <w:rPr>
          <w:rFonts w:cs="Arial"/>
        </w:rPr>
        <w:t xml:space="preserve"> </w:t>
      </w:r>
      <w:r w:rsidR="009160EA">
        <w:rPr>
          <w:rFonts w:cs="Arial"/>
        </w:rPr>
        <w:t xml:space="preserve">un </w:t>
      </w:r>
      <w:r w:rsidR="000F64A3">
        <w:rPr>
          <w:rFonts w:cs="Arial"/>
        </w:rPr>
        <w:t>gasto sin crédito disponible</w:t>
      </w:r>
      <w:r w:rsidR="009160EA">
        <w:rPr>
          <w:rFonts w:cs="Arial"/>
        </w:rPr>
        <w:t>;</w:t>
      </w:r>
      <w:r w:rsidR="000F64A3">
        <w:rPr>
          <w:rFonts w:cs="Arial"/>
        </w:rPr>
        <w:t xml:space="preserve"> </w:t>
      </w:r>
    </w:p>
    <w:p w:rsidR="009160EA" w:rsidRDefault="00307084" w:rsidP="0015389A">
      <w:pPr>
        <w:spacing w:line="360" w:lineRule="auto"/>
        <w:ind w:firstLine="2694"/>
        <w:jc w:val="both"/>
        <w:rPr>
          <w:rFonts w:cs="Arial"/>
          <w:b/>
        </w:rPr>
      </w:pPr>
      <w:r>
        <w:rPr>
          <w:rFonts w:cs="Arial"/>
          <w:b/>
          <w:bCs/>
        </w:rPr>
        <w:t>3)</w:t>
      </w:r>
      <w:r>
        <w:rPr>
          <w:rFonts w:cs="Arial"/>
        </w:rPr>
        <w:t xml:space="preserve"> </w:t>
      </w:r>
      <w:r w:rsidR="008065AA">
        <w:t xml:space="preserve">que, </w:t>
      </w:r>
      <w:r w:rsidR="00E87FC5">
        <w:t>por Resolución Nº</w:t>
      </w:r>
      <w:r w:rsidR="00A76BD5">
        <w:t xml:space="preserve"> </w:t>
      </w:r>
      <w:r w:rsidR="009160EA">
        <w:t>10996/13 de fecha 0</w:t>
      </w:r>
      <w:r w:rsidR="00E87FC5">
        <w:t>8/11</w:t>
      </w:r>
      <w:r w:rsidR="0057543B">
        <w:t>/13</w:t>
      </w:r>
      <w:r>
        <w:t xml:space="preserve">, el Intendente dispuso reiterar el gasto aduciendo </w:t>
      </w:r>
      <w:r w:rsidR="009160EA">
        <w:t>razones de servicio;</w:t>
      </w:r>
      <w:r w:rsidR="00E7686F" w:rsidRPr="00E7686F">
        <w:rPr>
          <w:rFonts w:cs="Arial"/>
          <w:b/>
        </w:rPr>
        <w:t xml:space="preserve">                           </w:t>
      </w:r>
      <w:r w:rsidR="00E7686F">
        <w:rPr>
          <w:rFonts w:cs="Arial"/>
          <w:b/>
        </w:rPr>
        <w:t xml:space="preserve">   </w:t>
      </w:r>
      <w:r w:rsidR="002C7858">
        <w:rPr>
          <w:rFonts w:cs="Arial"/>
          <w:b/>
        </w:rPr>
        <w:t xml:space="preserve">              </w:t>
      </w:r>
      <w:r w:rsidR="009160EA">
        <w:rPr>
          <w:rFonts w:cs="Arial"/>
          <w:b/>
        </w:rPr>
        <w:t xml:space="preserve">  </w:t>
      </w:r>
    </w:p>
    <w:p w:rsidR="00307084" w:rsidRDefault="00307084" w:rsidP="0015389A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 xml:space="preserve">4) </w:t>
      </w:r>
      <w:r>
        <w:rPr>
          <w:rFonts w:cs="Arial"/>
        </w:rPr>
        <w:t>que la</w:t>
      </w:r>
      <w:r w:rsidR="0057543B">
        <w:rPr>
          <w:rFonts w:cs="Arial"/>
        </w:rPr>
        <w:t xml:space="preserve"> Co</w:t>
      </w:r>
      <w:r w:rsidR="009160EA">
        <w:rPr>
          <w:rFonts w:cs="Arial"/>
        </w:rPr>
        <w:t>ntadora Delegada con fecha 11</w:t>
      </w:r>
      <w:r w:rsidR="00153324">
        <w:rPr>
          <w:rFonts w:cs="Arial"/>
        </w:rPr>
        <w:t>/11</w:t>
      </w:r>
      <w:r w:rsidR="0057543B">
        <w:rPr>
          <w:rFonts w:cs="Arial"/>
        </w:rPr>
        <w:t>/13</w:t>
      </w:r>
      <w:r>
        <w:rPr>
          <w:rFonts w:cs="Arial"/>
        </w:rPr>
        <w:t xml:space="preserve"> intervino el gasto por reiteración; </w:t>
      </w:r>
    </w:p>
    <w:p w:rsidR="00190C50" w:rsidRDefault="00307084" w:rsidP="0015389A">
      <w:pPr>
        <w:spacing w:line="360" w:lineRule="auto"/>
        <w:ind w:firstLine="851"/>
        <w:jc w:val="both"/>
        <w:rPr>
          <w:lang w:val="es-MX"/>
        </w:rPr>
      </w:pPr>
      <w:r>
        <w:rPr>
          <w:b/>
          <w:bCs/>
        </w:rPr>
        <w:t>CONSIDERANDO:</w:t>
      </w:r>
      <w:r>
        <w:t xml:space="preserve"> </w:t>
      </w:r>
      <w:r w:rsidR="00F17748" w:rsidRPr="00F17748">
        <w:rPr>
          <w:rFonts w:cs="Arial"/>
          <w:b/>
          <w:bCs/>
        </w:rPr>
        <w:t>1)</w:t>
      </w:r>
      <w:r w:rsidR="00F17748" w:rsidRPr="00F17748">
        <w:rPr>
          <w:lang w:val="es-UY"/>
        </w:rPr>
        <w:t xml:space="preserve"> </w:t>
      </w:r>
      <w:r w:rsidR="00F17748" w:rsidRPr="00F17748">
        <w:rPr>
          <w:lang w:val="es-MX"/>
        </w:rPr>
        <w:t>que el Art</w:t>
      </w:r>
      <w:r w:rsidR="00626998">
        <w:rPr>
          <w:lang w:val="es-MX"/>
        </w:rPr>
        <w:t>ículo</w:t>
      </w:r>
      <w:r w:rsidR="00F17748" w:rsidRPr="00F17748">
        <w:rPr>
          <w:lang w:val="es-MX"/>
        </w:rPr>
        <w:t xml:space="preserve"> 475 de la Ley 17.296 dispone que los Ordenadores de gastos o pagos, al ejercer la facultad de insistencia o reiteración que les confiere el Art</w:t>
      </w:r>
      <w:r w:rsidR="004025B7">
        <w:rPr>
          <w:lang w:val="es-MX"/>
        </w:rPr>
        <w:t>ículo</w:t>
      </w:r>
      <w:r w:rsidR="00F17748" w:rsidRPr="00F17748">
        <w:rPr>
          <w:lang w:val="es-MX"/>
        </w:rPr>
        <w:t xml:space="preserve"> 211 Lit</w:t>
      </w:r>
      <w:r w:rsidR="004025B7">
        <w:rPr>
          <w:lang w:val="es-MX"/>
        </w:rPr>
        <w:t>eral</w:t>
      </w:r>
      <w:r w:rsidR="00F17748" w:rsidRPr="00F17748">
        <w:rPr>
          <w:lang w:val="es-MX"/>
        </w:rPr>
        <w:t xml:space="preserve"> B) de la Constitución de la República deberán hacerlo en forma fundada, detallando los motivos que a su juicio justifican seguir el curso del gasto o pago; </w:t>
      </w:r>
    </w:p>
    <w:p w:rsidR="00F17748" w:rsidRPr="00F17748" w:rsidRDefault="00F17748" w:rsidP="0015389A">
      <w:pPr>
        <w:spacing w:line="360" w:lineRule="auto"/>
        <w:ind w:firstLine="2977"/>
        <w:jc w:val="both"/>
        <w:rPr>
          <w:rFonts w:cs="Arial"/>
          <w:szCs w:val="20"/>
          <w:lang w:val="es-UY"/>
        </w:rPr>
      </w:pPr>
      <w:r w:rsidRPr="00F17748">
        <w:rPr>
          <w:rFonts w:cs="Arial"/>
          <w:b/>
          <w:bCs/>
          <w:szCs w:val="20"/>
          <w:lang w:val="es-UY"/>
        </w:rPr>
        <w:t xml:space="preserve">2) </w:t>
      </w:r>
      <w:r w:rsidRPr="00F17748">
        <w:rPr>
          <w:rFonts w:cs="Arial"/>
          <w:szCs w:val="20"/>
          <w:lang w:val="es-UY"/>
        </w:rPr>
        <w:t xml:space="preserve">que </w:t>
      </w:r>
      <w:r w:rsidRPr="00F17748">
        <w:rPr>
          <w:rFonts w:cs="Arial"/>
          <w:bCs/>
          <w:szCs w:val="20"/>
          <w:lang w:val="es-MX"/>
        </w:rPr>
        <w:t xml:space="preserve">que los argumentos invocados en la resolución de reiteración del gasto, no subsanan la causal de observación efectuada por la Contadora Delegada, manteniéndose </w:t>
      </w:r>
      <w:r w:rsidRPr="00F17748">
        <w:rPr>
          <w:rFonts w:cs="Arial"/>
          <w:bCs/>
          <w:szCs w:val="20"/>
        </w:rPr>
        <w:t>incambiados los hechos con relevancia jurídica que motivaron la misma</w:t>
      </w:r>
      <w:r w:rsidRPr="00F17748">
        <w:rPr>
          <w:rFonts w:cs="Arial"/>
          <w:szCs w:val="20"/>
          <w:lang w:val="es-UY"/>
        </w:rPr>
        <w:t>;</w:t>
      </w:r>
    </w:p>
    <w:p w:rsidR="00F17748" w:rsidRPr="00F17748" w:rsidRDefault="00F17748" w:rsidP="0015389A">
      <w:pPr>
        <w:spacing w:line="360" w:lineRule="auto"/>
        <w:ind w:firstLine="851"/>
        <w:jc w:val="both"/>
        <w:rPr>
          <w:rFonts w:cs="Arial"/>
          <w:lang w:val="es-UY"/>
        </w:rPr>
      </w:pPr>
      <w:r w:rsidRPr="00F17748">
        <w:rPr>
          <w:rFonts w:cs="Arial"/>
          <w:b/>
          <w:bCs/>
          <w:lang w:val="es-UY"/>
        </w:rPr>
        <w:t xml:space="preserve">ATENTO: </w:t>
      </w:r>
      <w:r w:rsidRPr="00F17748">
        <w:rPr>
          <w:rFonts w:cs="Arial"/>
          <w:lang w:val="es-UY"/>
        </w:rPr>
        <w:t xml:space="preserve">a lo expuesto y a lo dispuesto por el </w:t>
      </w:r>
      <w:r w:rsidR="004025B7">
        <w:rPr>
          <w:rFonts w:cs="Arial"/>
          <w:lang w:val="es-UY"/>
        </w:rPr>
        <w:t>A</w:t>
      </w:r>
      <w:r w:rsidRPr="00F17748">
        <w:rPr>
          <w:rFonts w:cs="Arial"/>
          <w:lang w:val="es-UY"/>
        </w:rPr>
        <w:t>rt</w:t>
      </w:r>
      <w:r w:rsidR="004025B7">
        <w:rPr>
          <w:rFonts w:cs="Arial"/>
          <w:lang w:val="es-UY"/>
        </w:rPr>
        <w:t>ículo</w:t>
      </w:r>
      <w:r w:rsidRPr="00F17748">
        <w:rPr>
          <w:rFonts w:cs="Arial"/>
          <w:lang w:val="es-UY"/>
        </w:rPr>
        <w:t xml:space="preserve"> 211 </w:t>
      </w:r>
      <w:r w:rsidR="004025B7">
        <w:rPr>
          <w:rFonts w:cs="Arial"/>
          <w:lang w:val="es-UY"/>
        </w:rPr>
        <w:t>L</w:t>
      </w:r>
      <w:r w:rsidRPr="00F17748">
        <w:rPr>
          <w:rFonts w:cs="Arial"/>
          <w:lang w:val="es-UY"/>
        </w:rPr>
        <w:t>it</w:t>
      </w:r>
      <w:r w:rsidR="004025B7">
        <w:rPr>
          <w:rFonts w:cs="Arial"/>
          <w:lang w:val="es-UY"/>
        </w:rPr>
        <w:t>eral</w:t>
      </w:r>
      <w:r w:rsidRPr="00F17748">
        <w:rPr>
          <w:rFonts w:cs="Arial"/>
          <w:lang w:val="es-UY"/>
        </w:rPr>
        <w:t xml:space="preserve"> B) de la Constitución de la República;</w:t>
      </w:r>
    </w:p>
    <w:p w:rsidR="00F17748" w:rsidRPr="00F17748" w:rsidRDefault="00F17748" w:rsidP="00F17748">
      <w:pPr>
        <w:keepNext/>
        <w:spacing w:line="360" w:lineRule="auto"/>
        <w:jc w:val="center"/>
        <w:outlineLvl w:val="0"/>
        <w:rPr>
          <w:rFonts w:cs="Arial"/>
          <w:b/>
          <w:bCs/>
          <w:szCs w:val="20"/>
        </w:rPr>
      </w:pPr>
      <w:r w:rsidRPr="00F17748">
        <w:rPr>
          <w:rFonts w:cs="Arial"/>
          <w:b/>
          <w:bCs/>
          <w:szCs w:val="20"/>
        </w:rPr>
        <w:lastRenderedPageBreak/>
        <w:t>EL TRIBUNAL ACUERDA</w:t>
      </w:r>
    </w:p>
    <w:p w:rsidR="00F17748" w:rsidRPr="00F17748" w:rsidRDefault="004025B7" w:rsidP="00AF505A">
      <w:pPr>
        <w:spacing w:line="360" w:lineRule="auto"/>
        <w:ind w:left="284" w:hanging="284"/>
        <w:jc w:val="both"/>
        <w:rPr>
          <w:rFonts w:cs="Arial"/>
        </w:rPr>
      </w:pPr>
      <w:r w:rsidRPr="004025B7">
        <w:rPr>
          <w:rFonts w:cs="Arial"/>
          <w:b/>
        </w:rPr>
        <w:t>1)</w:t>
      </w:r>
      <w:r>
        <w:rPr>
          <w:rFonts w:cs="Arial"/>
        </w:rPr>
        <w:t xml:space="preserve"> </w:t>
      </w:r>
      <w:r w:rsidR="00F17748" w:rsidRPr="00F17748">
        <w:rPr>
          <w:rFonts w:cs="Arial"/>
        </w:rPr>
        <w:t>Mantener la observación formulada por la</w:t>
      </w:r>
      <w:r w:rsidR="008065AA">
        <w:rPr>
          <w:rFonts w:cs="Arial"/>
        </w:rPr>
        <w:t xml:space="preserve"> Contad</w:t>
      </w:r>
      <w:r w:rsidR="00153324">
        <w:rPr>
          <w:rFonts w:cs="Arial"/>
        </w:rPr>
        <w:t>ora Delegada con</w:t>
      </w:r>
      <w:r w:rsidR="003866CD">
        <w:rPr>
          <w:rFonts w:cs="Arial"/>
        </w:rPr>
        <w:t xml:space="preserve"> fecha 29</w:t>
      </w:r>
      <w:r w:rsidR="00153324">
        <w:rPr>
          <w:rFonts w:cs="Arial"/>
        </w:rPr>
        <w:t>/10</w:t>
      </w:r>
      <w:r w:rsidR="0057543B">
        <w:rPr>
          <w:rFonts w:cs="Arial"/>
        </w:rPr>
        <w:t>/13</w:t>
      </w:r>
      <w:r w:rsidR="00F17748" w:rsidRPr="00F17748">
        <w:rPr>
          <w:rFonts w:cs="Arial"/>
        </w:rPr>
        <w:t>;</w:t>
      </w:r>
    </w:p>
    <w:p w:rsidR="00F17748" w:rsidRPr="00F17748" w:rsidRDefault="00AF505A" w:rsidP="00F17748">
      <w:pPr>
        <w:spacing w:line="360" w:lineRule="auto"/>
        <w:jc w:val="both"/>
        <w:rPr>
          <w:rFonts w:cs="Arial"/>
        </w:rPr>
      </w:pPr>
      <w:r w:rsidRPr="00AF505A">
        <w:rPr>
          <w:rFonts w:cs="Arial"/>
          <w:b/>
        </w:rPr>
        <w:t>2)</w:t>
      </w:r>
      <w:r>
        <w:rPr>
          <w:rFonts w:cs="Arial"/>
        </w:rPr>
        <w:t xml:space="preserve"> </w:t>
      </w:r>
      <w:r w:rsidR="00F17748" w:rsidRPr="00F17748">
        <w:rPr>
          <w:rFonts w:cs="Arial"/>
        </w:rPr>
        <w:t xml:space="preserve">Dar cuenta a la Junta Departamental de Rivera; </w:t>
      </w:r>
    </w:p>
    <w:p w:rsidR="00F17748" w:rsidRPr="00F17748" w:rsidRDefault="00AF505A" w:rsidP="00AF505A">
      <w:pPr>
        <w:spacing w:line="360" w:lineRule="auto"/>
        <w:jc w:val="both"/>
        <w:rPr>
          <w:rFonts w:cs="Arial"/>
          <w:lang w:val="es-MX"/>
        </w:rPr>
      </w:pPr>
      <w:r w:rsidRPr="00AF505A">
        <w:rPr>
          <w:rFonts w:cs="Arial"/>
          <w:b/>
        </w:rPr>
        <w:t>3)</w:t>
      </w:r>
      <w:r>
        <w:rPr>
          <w:rFonts w:cs="Arial"/>
        </w:rPr>
        <w:t xml:space="preserve"> </w:t>
      </w:r>
      <w:r w:rsidR="00F17748" w:rsidRPr="00F17748">
        <w:rPr>
          <w:rFonts w:cs="Arial"/>
        </w:rPr>
        <w:t xml:space="preserve">Comunicar a la Contadora Delegada; y </w:t>
      </w:r>
    </w:p>
    <w:p w:rsidR="00F17748" w:rsidRDefault="00AF505A" w:rsidP="00AF505A">
      <w:pPr>
        <w:spacing w:line="360" w:lineRule="auto"/>
        <w:jc w:val="both"/>
        <w:rPr>
          <w:rFonts w:cs="Arial"/>
          <w:lang w:val="es-MX"/>
        </w:rPr>
      </w:pPr>
      <w:r w:rsidRPr="00AF505A">
        <w:rPr>
          <w:rFonts w:cs="Arial"/>
          <w:b/>
          <w:lang w:val="es-MX"/>
        </w:rPr>
        <w:t>4)</w:t>
      </w:r>
      <w:r>
        <w:rPr>
          <w:rFonts w:cs="Arial"/>
          <w:lang w:val="es-MX"/>
        </w:rPr>
        <w:t xml:space="preserve"> </w:t>
      </w:r>
      <w:r w:rsidR="00F17748" w:rsidRPr="00F17748">
        <w:rPr>
          <w:rFonts w:cs="Arial"/>
          <w:lang w:val="es-MX"/>
        </w:rPr>
        <w:t>Devolver las actuaciones</w:t>
      </w:r>
      <w:r>
        <w:rPr>
          <w:rFonts w:cs="Arial"/>
          <w:lang w:val="es-MX"/>
        </w:rPr>
        <w:t>.</w:t>
      </w:r>
    </w:p>
    <w:p w:rsidR="00307084" w:rsidRDefault="00AF505A" w:rsidP="0015389A">
      <w:pPr>
        <w:spacing w:line="360" w:lineRule="auto"/>
        <w:jc w:val="both"/>
        <w:rPr>
          <w:b/>
          <w:bCs/>
          <w:lang w:val="es-MX"/>
        </w:rPr>
      </w:pPr>
      <w:proofErr w:type="spellStart"/>
      <w:proofErr w:type="gramStart"/>
      <w:r>
        <w:rPr>
          <w:rFonts w:cs="Arial"/>
          <w:lang w:val="es-MX"/>
        </w:rPr>
        <w:t>cr</w:t>
      </w:r>
      <w:proofErr w:type="spellEnd"/>
      <w:proofErr w:type="gramEnd"/>
    </w:p>
    <w:sectPr w:rsidR="00307084" w:rsidSect="00C45FFD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F4F"/>
    <w:multiLevelType w:val="hybridMultilevel"/>
    <w:tmpl w:val="34D068CE"/>
    <w:lvl w:ilvl="0" w:tplc="0C0A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65EF6"/>
    <w:multiLevelType w:val="hybridMultilevel"/>
    <w:tmpl w:val="84D0A3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E7EA5"/>
    <w:multiLevelType w:val="hybridMultilevel"/>
    <w:tmpl w:val="32E4B9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B95C11"/>
    <w:multiLevelType w:val="hybridMultilevel"/>
    <w:tmpl w:val="8A32371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D03DE3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82366D0"/>
    <w:multiLevelType w:val="hybridMultilevel"/>
    <w:tmpl w:val="75129F24"/>
    <w:lvl w:ilvl="0" w:tplc="148448DC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A761B7"/>
    <w:multiLevelType w:val="hybridMultilevel"/>
    <w:tmpl w:val="081C6D84"/>
    <w:lvl w:ilvl="0" w:tplc="CB38A6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92"/>
    <w:rsid w:val="000A1CA0"/>
    <w:rsid w:val="000E6192"/>
    <w:rsid w:val="000F64A3"/>
    <w:rsid w:val="001127AC"/>
    <w:rsid w:val="00153324"/>
    <w:rsid w:val="0015389A"/>
    <w:rsid w:val="00190C50"/>
    <w:rsid w:val="001A4A53"/>
    <w:rsid w:val="001F598C"/>
    <w:rsid w:val="002166CD"/>
    <w:rsid w:val="00220D1B"/>
    <w:rsid w:val="00224D4C"/>
    <w:rsid w:val="00230D35"/>
    <w:rsid w:val="00276AED"/>
    <w:rsid w:val="002A46EF"/>
    <w:rsid w:val="002C7858"/>
    <w:rsid w:val="00307084"/>
    <w:rsid w:val="003115EC"/>
    <w:rsid w:val="003866CD"/>
    <w:rsid w:val="004025B7"/>
    <w:rsid w:val="00431363"/>
    <w:rsid w:val="0048126F"/>
    <w:rsid w:val="004E4FB1"/>
    <w:rsid w:val="005519A0"/>
    <w:rsid w:val="0057543B"/>
    <w:rsid w:val="00583651"/>
    <w:rsid w:val="005A4C9F"/>
    <w:rsid w:val="005A7831"/>
    <w:rsid w:val="005B415A"/>
    <w:rsid w:val="005E7D8D"/>
    <w:rsid w:val="00626998"/>
    <w:rsid w:val="00667600"/>
    <w:rsid w:val="007B1E9F"/>
    <w:rsid w:val="007C7934"/>
    <w:rsid w:val="008065AA"/>
    <w:rsid w:val="00810217"/>
    <w:rsid w:val="00850D34"/>
    <w:rsid w:val="009160EA"/>
    <w:rsid w:val="009B7DA0"/>
    <w:rsid w:val="00A33759"/>
    <w:rsid w:val="00A34C37"/>
    <w:rsid w:val="00A56281"/>
    <w:rsid w:val="00A76BD5"/>
    <w:rsid w:val="00AD175F"/>
    <w:rsid w:val="00AF505A"/>
    <w:rsid w:val="00B12C88"/>
    <w:rsid w:val="00B7055E"/>
    <w:rsid w:val="00B97467"/>
    <w:rsid w:val="00BF1FD7"/>
    <w:rsid w:val="00C20DC3"/>
    <w:rsid w:val="00C45FFD"/>
    <w:rsid w:val="00C5663D"/>
    <w:rsid w:val="00C57964"/>
    <w:rsid w:val="00CD2C41"/>
    <w:rsid w:val="00D04AA0"/>
    <w:rsid w:val="00D066BE"/>
    <w:rsid w:val="00DB035C"/>
    <w:rsid w:val="00DC3739"/>
    <w:rsid w:val="00E46115"/>
    <w:rsid w:val="00E66577"/>
    <w:rsid w:val="00E7686F"/>
    <w:rsid w:val="00E87FC5"/>
    <w:rsid w:val="00EF021D"/>
    <w:rsid w:val="00F17748"/>
    <w:rsid w:val="00F4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spacing w:line="360" w:lineRule="auto"/>
      <w:ind w:left="825"/>
      <w:jc w:val="both"/>
    </w:pPr>
  </w:style>
  <w:style w:type="character" w:styleId="Hipervnculo">
    <w:name w:val="Hyperlink"/>
    <w:uiPriority w:val="99"/>
    <w:unhideWhenUsed/>
    <w:rsid w:val="00DC373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1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46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spacing w:line="360" w:lineRule="auto"/>
      <w:ind w:left="825"/>
      <w:jc w:val="both"/>
    </w:pPr>
  </w:style>
  <w:style w:type="character" w:styleId="Hipervnculo">
    <w:name w:val="Hyperlink"/>
    <w:uiPriority w:val="99"/>
    <w:unhideWhenUsed/>
    <w:rsid w:val="00DC373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1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46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211496</vt:lpstr>
    </vt:vector>
  </TitlesOfParts>
  <Company>Tribunal de Cuentas</Company>
  <LinksUpToDate>false</LinksUpToDate>
  <CharactersWithSpaces>1886</CharactersWithSpaces>
  <SharedDoc>false</SharedDoc>
  <HLinks>
    <vt:vector size="6" baseType="variant">
      <vt:variant>
        <vt:i4>458800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documentos\Reiteraciones\Rivera\2013-17-1-0008382-Riv-Reit-MG.doc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211496</dc:title>
  <dc:subject/>
  <dc:creator>TCR</dc:creator>
  <cp:keywords/>
  <dc:description/>
  <cp:lastModifiedBy> </cp:lastModifiedBy>
  <cp:revision>4</cp:revision>
  <cp:lastPrinted>2014-01-08T15:31:00Z</cp:lastPrinted>
  <dcterms:created xsi:type="dcterms:W3CDTF">2014-01-08T15:31:00Z</dcterms:created>
  <dcterms:modified xsi:type="dcterms:W3CDTF">2014-02-03T16:58:00Z</dcterms:modified>
</cp:coreProperties>
</file>