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28" w:rsidRPr="00BF6128" w:rsidRDefault="00BF6128" w:rsidP="00BF6128">
      <w:pPr>
        <w:tabs>
          <w:tab w:val="center" w:pos="4253"/>
        </w:tabs>
        <w:suppressAutoHyphens/>
        <w:spacing w:after="0" w:line="240" w:lineRule="auto"/>
        <w:jc w:val="center"/>
        <w:rPr>
          <w:rFonts w:cs="Arial"/>
          <w:b/>
          <w:lang w:val="es-ES_tradnl"/>
        </w:rPr>
      </w:pPr>
      <w:r w:rsidRPr="00BF6128">
        <w:rPr>
          <w:rFonts w:cs="Arial"/>
          <w:b/>
          <w:lang w:val="es-ES_tradnl"/>
        </w:rPr>
        <w:t>RESOLUCION ADOPTADA POR EL</w:t>
      </w:r>
    </w:p>
    <w:p w:rsidR="00BF6128" w:rsidRPr="00BF6128" w:rsidRDefault="00BF6128" w:rsidP="00BF6128">
      <w:pPr>
        <w:tabs>
          <w:tab w:val="left" w:pos="-720"/>
        </w:tabs>
        <w:suppressAutoHyphens/>
        <w:spacing w:after="0" w:line="240" w:lineRule="auto"/>
        <w:jc w:val="center"/>
        <w:rPr>
          <w:rFonts w:cs="Arial"/>
          <w:b/>
          <w:lang w:val="es-ES_tradnl"/>
        </w:rPr>
      </w:pPr>
    </w:p>
    <w:p w:rsidR="00BF6128" w:rsidRPr="00BF6128" w:rsidRDefault="00BF6128" w:rsidP="00BF6128">
      <w:pPr>
        <w:tabs>
          <w:tab w:val="center" w:pos="4253"/>
        </w:tabs>
        <w:suppressAutoHyphens/>
        <w:spacing w:after="0" w:line="240" w:lineRule="auto"/>
        <w:jc w:val="center"/>
        <w:rPr>
          <w:rFonts w:cs="Arial"/>
          <w:b/>
          <w:lang w:val="es-ES_tradnl"/>
        </w:rPr>
      </w:pPr>
      <w:r w:rsidRPr="00BF6128">
        <w:rPr>
          <w:rFonts w:cs="Arial"/>
          <w:b/>
          <w:lang w:val="es-ES_tradnl"/>
        </w:rPr>
        <w:t>TRIBUNAL DE CUENTAS</w:t>
      </w:r>
    </w:p>
    <w:p w:rsidR="00BF6128" w:rsidRPr="00BF6128" w:rsidRDefault="00BF6128" w:rsidP="00BF6128">
      <w:pPr>
        <w:tabs>
          <w:tab w:val="left" w:pos="-720"/>
        </w:tabs>
        <w:suppressAutoHyphens/>
        <w:spacing w:after="0" w:line="240" w:lineRule="auto"/>
        <w:jc w:val="center"/>
        <w:rPr>
          <w:rFonts w:cs="Arial"/>
          <w:b/>
          <w:lang w:val="es-ES_tradnl"/>
        </w:rPr>
      </w:pPr>
    </w:p>
    <w:p w:rsidR="00BF6128" w:rsidRPr="00BF6128" w:rsidRDefault="00BF6128" w:rsidP="00BF6128">
      <w:pPr>
        <w:tabs>
          <w:tab w:val="center" w:pos="4253"/>
        </w:tabs>
        <w:suppressAutoHyphens/>
        <w:spacing w:after="0" w:line="240" w:lineRule="auto"/>
        <w:jc w:val="center"/>
        <w:rPr>
          <w:rFonts w:cs="Arial"/>
          <w:b/>
          <w:lang w:val="es-ES_tradnl"/>
        </w:rPr>
      </w:pPr>
      <w:r w:rsidRPr="00BF6128">
        <w:rPr>
          <w:rFonts w:cs="Arial"/>
          <w:b/>
          <w:lang w:val="es-ES_tradnl"/>
        </w:rPr>
        <w:t>EN SESION DE FECHA 4 DE DICIEMBRE DE 2013</w:t>
      </w:r>
    </w:p>
    <w:p w:rsidR="00BF6128" w:rsidRPr="00BF6128" w:rsidRDefault="00BF6128" w:rsidP="00BF6128">
      <w:pPr>
        <w:tabs>
          <w:tab w:val="center" w:pos="4253"/>
        </w:tabs>
        <w:suppressAutoHyphens/>
        <w:spacing w:after="0" w:line="240" w:lineRule="auto"/>
        <w:jc w:val="center"/>
        <w:rPr>
          <w:rFonts w:cs="Arial"/>
          <w:b/>
          <w:lang w:val="es-ES_tradnl"/>
        </w:rPr>
      </w:pPr>
    </w:p>
    <w:p w:rsidR="00BF6128" w:rsidRPr="00BF6128" w:rsidRDefault="00BF6128" w:rsidP="00BF6128">
      <w:pPr>
        <w:tabs>
          <w:tab w:val="center" w:pos="4253"/>
        </w:tabs>
        <w:suppressAutoHyphens/>
        <w:spacing w:after="0" w:line="240" w:lineRule="auto"/>
        <w:jc w:val="center"/>
        <w:rPr>
          <w:rFonts w:cs="Arial"/>
          <w:b/>
        </w:rPr>
      </w:pPr>
      <w:r w:rsidRPr="00BF6128">
        <w:rPr>
          <w:rFonts w:cs="Arial"/>
          <w:b/>
        </w:rPr>
        <w:t xml:space="preserve">(E. E. Nº 2013-17-1-0007336, </w:t>
      </w:r>
      <w:proofErr w:type="spellStart"/>
      <w:r w:rsidRPr="00BF6128">
        <w:rPr>
          <w:rFonts w:cs="Arial"/>
          <w:b/>
        </w:rPr>
        <w:t>Ent</w:t>
      </w:r>
      <w:proofErr w:type="spellEnd"/>
      <w:r w:rsidRPr="00BF6128">
        <w:rPr>
          <w:rFonts w:cs="Arial"/>
          <w:b/>
        </w:rPr>
        <w:t>. N° 6327/13.)</w:t>
      </w:r>
    </w:p>
    <w:p w:rsidR="00BF6128" w:rsidRPr="00BF6128" w:rsidRDefault="00BF6128" w:rsidP="00BF6128">
      <w:pPr>
        <w:tabs>
          <w:tab w:val="center" w:pos="4253"/>
        </w:tabs>
        <w:suppressAutoHyphens/>
        <w:spacing w:after="0" w:line="240" w:lineRule="auto"/>
        <w:jc w:val="center"/>
        <w:rPr>
          <w:rFonts w:cs="Arial"/>
          <w:b/>
          <w:spacing w:val="-3"/>
        </w:rPr>
      </w:pPr>
    </w:p>
    <w:p w:rsidR="00C13B47" w:rsidRPr="00BF6128" w:rsidRDefault="00C13B47" w:rsidP="00C13B47">
      <w:pPr>
        <w:spacing w:line="360" w:lineRule="auto"/>
        <w:ind w:firstLine="708"/>
        <w:rPr>
          <w:szCs w:val="24"/>
        </w:rPr>
      </w:pPr>
      <w:r w:rsidRPr="00BF6128">
        <w:rPr>
          <w:b/>
          <w:bCs/>
          <w:szCs w:val="24"/>
        </w:rPr>
        <w:t>VISTO:</w:t>
      </w:r>
      <w:r w:rsidRPr="00855083">
        <w:rPr>
          <w:b/>
          <w:szCs w:val="24"/>
        </w:rPr>
        <w:t xml:space="preserve"> </w:t>
      </w:r>
      <w:r w:rsidRPr="00BF6128">
        <w:rPr>
          <w:szCs w:val="24"/>
        </w:rPr>
        <w:t xml:space="preserve">las nuevas actuaciones remitidas por el Ministerio de Desarrollo Social </w:t>
      </w:r>
      <w:r w:rsidRPr="00BF6128">
        <w:rPr>
          <w:lang w:val="es-ES_tradnl"/>
        </w:rPr>
        <w:t>relacionadas con la prórroga de la contratación de las</w:t>
      </w:r>
      <w:r w:rsidRPr="00BF6128">
        <w:rPr>
          <w:bCs/>
          <w:lang w:val="es-ES_tradnl"/>
        </w:rPr>
        <w:t xml:space="preserve"> Organizaciones de Sociedad Civil (</w:t>
      </w:r>
      <w:proofErr w:type="spellStart"/>
      <w:r w:rsidRPr="00BF6128">
        <w:rPr>
          <w:bCs/>
          <w:lang w:val="es-ES_tradnl"/>
        </w:rPr>
        <w:t>OSCs</w:t>
      </w:r>
      <w:proofErr w:type="spellEnd"/>
      <w:r w:rsidRPr="00BF6128">
        <w:rPr>
          <w:bCs/>
          <w:lang w:val="es-ES_tradnl"/>
        </w:rPr>
        <w:t xml:space="preserve">) y/o Cooperativas de Trabajo para la puesta en funcionamiento de un Servicio Especializado de Atención a Mujeres en Situación de Violencia Doméstica en los Departamentos de Cerro Largo, Durazno y San José (Ciudad del Plata), por el término de 12 meses, en el marco de la Licitación Pública Nº 1/2012; </w:t>
      </w:r>
    </w:p>
    <w:p w:rsidR="00C13B47" w:rsidRPr="00BF6128" w:rsidRDefault="00C13B47" w:rsidP="00BF6128">
      <w:pPr>
        <w:spacing w:line="360" w:lineRule="auto"/>
        <w:ind w:firstLine="708"/>
        <w:rPr>
          <w:bCs/>
          <w:u w:val="single"/>
          <w:lang w:val="es-ES_tradnl"/>
        </w:rPr>
      </w:pPr>
      <w:r w:rsidRPr="00BF6128">
        <w:rPr>
          <w:b/>
          <w:bCs/>
        </w:rPr>
        <w:t>RESULTANDO: 1)</w:t>
      </w:r>
      <w:r w:rsidRPr="00BF6128">
        <w:rPr>
          <w:b/>
          <w:bCs/>
          <w:lang w:val="es-ES_tradnl"/>
        </w:rPr>
        <w:t xml:space="preserve"> </w:t>
      </w:r>
      <w:r w:rsidRPr="00BF6128">
        <w:rPr>
          <w:bCs/>
          <w:lang w:val="es-ES_tradnl"/>
        </w:rPr>
        <w:t xml:space="preserve">que lucen facturas correspondientes a </w:t>
      </w:r>
      <w:smartTag w:uri="urn:schemas-microsoft-com:office:smarttags" w:element="PersonName">
        <w:smartTagPr>
          <w:attr w:name="ProductID" w:val="la Asociación Civil"/>
        </w:smartTagPr>
        <w:smartTag w:uri="urn:schemas-microsoft-com:office:smarttags" w:element="PersonName">
          <w:smartTagPr>
            <w:attr w:name="ProductID" w:val="la Asociación"/>
          </w:smartTagPr>
          <w:r w:rsidRPr="00BF6128">
            <w:rPr>
              <w:bCs/>
              <w:lang w:val="es-ES_tradnl"/>
            </w:rPr>
            <w:t>la Asociación</w:t>
          </w:r>
        </w:smartTag>
        <w:r w:rsidRPr="00BF6128">
          <w:rPr>
            <w:bCs/>
            <w:lang w:val="es-ES_tradnl"/>
          </w:rPr>
          <w:t xml:space="preserve"> Civil</w:t>
        </w:r>
      </w:smartTag>
      <w:r w:rsidRPr="00BF6128">
        <w:rPr>
          <w:bCs/>
          <w:lang w:val="es-ES_tradnl"/>
        </w:rPr>
        <w:t xml:space="preserve"> “Movimiento de Participación Popular”, de las que surge que fueron controladas por el Departamento Financiero Contable del Ministerio de Desarrollo Social; </w:t>
      </w:r>
    </w:p>
    <w:p w:rsidR="00C13B47" w:rsidRDefault="00C13B47" w:rsidP="00BF6128">
      <w:pPr>
        <w:spacing w:line="360" w:lineRule="auto"/>
        <w:ind w:firstLine="2694"/>
        <w:rPr>
          <w:b/>
          <w:bCs/>
          <w:lang w:val="es-ES_tradnl"/>
        </w:rPr>
      </w:pPr>
      <w:r w:rsidRPr="00BF6128">
        <w:rPr>
          <w:b/>
          <w:bCs/>
          <w:lang w:val="es-ES_tradnl"/>
        </w:rPr>
        <w:t>2)</w:t>
      </w:r>
      <w:r>
        <w:rPr>
          <w:b/>
          <w:bCs/>
          <w:lang w:val="es-ES_tradnl"/>
        </w:rPr>
        <w:t xml:space="preserve"> </w:t>
      </w:r>
      <w:r w:rsidRPr="00BF6128">
        <w:rPr>
          <w:bCs/>
          <w:lang w:val="es-ES_tradnl"/>
        </w:rPr>
        <w:t xml:space="preserve">que se adjunta nota elaborada por </w:t>
      </w:r>
      <w:smartTag w:uri="urn:schemas-microsoft-com:office:smarttags" w:element="PersonName">
        <w:smartTagPr>
          <w:attr w:name="ProductID" w:val="La Contadora Auditora"/>
        </w:smartTagPr>
        <w:smartTag w:uri="urn:schemas-microsoft-com:office:smarttags" w:element="PersonName">
          <w:smartTagPr>
            <w:attr w:name="ProductID" w:val="la Contadora"/>
          </w:smartTagPr>
          <w:r w:rsidRPr="00BF6128">
            <w:rPr>
              <w:bCs/>
              <w:lang w:val="es-ES_tradnl"/>
            </w:rPr>
            <w:t>la Contadora</w:t>
          </w:r>
        </w:smartTag>
        <w:r w:rsidRPr="00BF6128">
          <w:rPr>
            <w:bCs/>
            <w:lang w:val="es-ES_tradnl"/>
          </w:rPr>
          <w:t xml:space="preserve"> Auditora</w:t>
        </w:r>
      </w:smartTag>
      <w:r w:rsidRPr="00BF6128">
        <w:rPr>
          <w:bCs/>
          <w:lang w:val="es-ES_tradnl"/>
        </w:rPr>
        <w:t xml:space="preserve"> destacada ante el Ministerio de Desarrollo Social, de fecha 2 de agosto de 2013, de la cual surge la observación efectuada por dicha Contadora del Convenio celebrado entre el Ministerio de Desarrollo Social y </w:t>
      </w:r>
      <w:smartTag w:uri="urn:schemas-microsoft-com:office:smarttags" w:element="PersonName">
        <w:smartTagPr>
          <w:attr w:name="ProductID" w:val="la Asociación Civil"/>
        </w:smartTagPr>
        <w:smartTag w:uri="urn:schemas-microsoft-com:office:smarttags" w:element="PersonName">
          <w:smartTagPr>
            <w:attr w:name="ProductID" w:val="la Asociación"/>
          </w:smartTagPr>
          <w:r w:rsidRPr="00BF6128">
            <w:rPr>
              <w:bCs/>
              <w:lang w:val="es-ES_tradnl"/>
            </w:rPr>
            <w:t>la Asociación</w:t>
          </w:r>
        </w:smartTag>
        <w:r w:rsidRPr="00BF6128">
          <w:rPr>
            <w:bCs/>
            <w:lang w:val="es-ES_tradnl"/>
          </w:rPr>
          <w:t xml:space="preserve"> Civil</w:t>
        </w:r>
      </w:smartTag>
      <w:r w:rsidRPr="00BF6128">
        <w:rPr>
          <w:bCs/>
          <w:lang w:val="es-ES_tradnl"/>
        </w:rPr>
        <w:t xml:space="preserve"> Centro de Participación Popular, por no haberse dado cumplimiento a lo establecido en el Art. 132 del T.O.C.A.F. (plazo para la rendición de cuentas 60 días contados desde el último día del mes en que se recibieron los fondos), por el Art</w:t>
      </w:r>
      <w:r w:rsidR="00BF6128">
        <w:rPr>
          <w:bCs/>
          <w:lang w:val="es-ES_tradnl"/>
        </w:rPr>
        <w:t>ículo</w:t>
      </w:r>
      <w:r w:rsidRPr="00BF6128">
        <w:rPr>
          <w:bCs/>
          <w:lang w:val="es-ES_tradnl"/>
        </w:rPr>
        <w:t xml:space="preserve"> 416 de </w:t>
      </w:r>
      <w:smartTag w:uri="urn:schemas-microsoft-com:office:smarttags" w:element="PersonName">
        <w:smartTagPr>
          <w:attr w:name="ProductID" w:val="la Ley N"/>
        </w:smartTagPr>
        <w:smartTag w:uri="urn:schemas-microsoft-com:office:smarttags" w:element="PersonName">
          <w:smartTagPr>
            <w:attr w:name="ProductID" w:val="la Ley"/>
          </w:smartTagPr>
          <w:r w:rsidRPr="00BF6128">
            <w:rPr>
              <w:bCs/>
              <w:lang w:val="es-ES_tradnl"/>
            </w:rPr>
            <w:t>la Ley</w:t>
          </w:r>
        </w:smartTag>
        <w:r w:rsidRPr="00BF6128">
          <w:rPr>
            <w:bCs/>
            <w:lang w:val="es-ES_tradnl"/>
          </w:rPr>
          <w:t xml:space="preserve"> N</w:t>
        </w:r>
      </w:smartTag>
      <w:r w:rsidRPr="00BF6128">
        <w:rPr>
          <w:bCs/>
          <w:lang w:val="es-ES_tradnl"/>
        </w:rPr>
        <w:t xml:space="preserve">º 17.930 (no podrán adelantarse fondos a rendir cuentas a personas físicas o jurídicas que no hayan presentado la rendición de cuentas de partidas recibidas con anterioridad) y por </w:t>
      </w:r>
      <w:smartTag w:uri="urn:schemas-microsoft-com:office:smarttags" w:element="PersonName">
        <w:smartTagPr>
          <w:attr w:name="ProductID" w:val="la Ordenanza N"/>
        </w:smartTagPr>
        <w:smartTag w:uri="urn:schemas-microsoft-com:office:smarttags" w:element="PersonName">
          <w:smartTagPr>
            <w:attr w:name="ProductID" w:val="la Ordenanza"/>
          </w:smartTagPr>
          <w:r w:rsidRPr="00BF6128">
            <w:rPr>
              <w:bCs/>
              <w:lang w:val="es-ES_tradnl"/>
            </w:rPr>
            <w:t>la Ordenanza</w:t>
          </w:r>
        </w:smartTag>
        <w:r w:rsidRPr="00BF6128">
          <w:rPr>
            <w:bCs/>
            <w:lang w:val="es-ES_tradnl"/>
          </w:rPr>
          <w:t xml:space="preserve"> N</w:t>
        </w:r>
      </w:smartTag>
      <w:r w:rsidRPr="00BF6128">
        <w:rPr>
          <w:bCs/>
          <w:lang w:val="es-ES_tradnl"/>
        </w:rPr>
        <w:t>º 77 del Tribunal de Cuentas (ninguna suma permanecerá sin rendir cuenta durante más de dos meses posteriores al mes que fue recibida);</w:t>
      </w:r>
      <w:r>
        <w:rPr>
          <w:b/>
          <w:bCs/>
          <w:lang w:val="es-ES_tradnl"/>
        </w:rPr>
        <w:t xml:space="preserve"> </w:t>
      </w:r>
    </w:p>
    <w:p w:rsidR="00C13B47" w:rsidRPr="00BF6128" w:rsidRDefault="00C13B47" w:rsidP="00BF6128">
      <w:pPr>
        <w:tabs>
          <w:tab w:val="left" w:pos="4755"/>
        </w:tabs>
        <w:spacing w:line="360" w:lineRule="auto"/>
        <w:ind w:firstLine="2694"/>
        <w:rPr>
          <w:bCs/>
          <w:lang w:val="es-ES_tradnl"/>
        </w:rPr>
      </w:pPr>
      <w:r w:rsidRPr="00BF6128">
        <w:rPr>
          <w:b/>
          <w:bCs/>
          <w:lang w:val="es-ES_tradnl"/>
        </w:rPr>
        <w:lastRenderedPageBreak/>
        <w:t>3)</w:t>
      </w:r>
      <w:r>
        <w:rPr>
          <w:b/>
          <w:bCs/>
          <w:lang w:val="es-ES_tradnl"/>
        </w:rPr>
        <w:t xml:space="preserve"> </w:t>
      </w:r>
      <w:r w:rsidRPr="00BF6128">
        <w:rPr>
          <w:bCs/>
          <w:lang w:val="es-ES_tradnl"/>
        </w:rPr>
        <w:t xml:space="preserve">que </w:t>
      </w:r>
      <w:r w:rsidRPr="00BF6128">
        <w:rPr>
          <w:szCs w:val="24"/>
        </w:rPr>
        <w:t>luce Resolución dictada por el Ministro de Desarrollo Social, de fecha 9 de agosto de 2013, mediante el cual se reitera el gasto por la</w:t>
      </w:r>
      <w:r>
        <w:rPr>
          <w:b/>
          <w:szCs w:val="24"/>
        </w:rPr>
        <w:t xml:space="preserve"> </w:t>
      </w:r>
      <w:r w:rsidRPr="00BF6128">
        <w:rPr>
          <w:szCs w:val="24"/>
        </w:rPr>
        <w:t xml:space="preserve">suma de $ 234.710, correspondiente al pago de </w:t>
      </w:r>
      <w:r w:rsidR="00B56FC6">
        <w:rPr>
          <w:szCs w:val="24"/>
        </w:rPr>
        <w:t>l</w:t>
      </w:r>
      <w:r w:rsidRPr="00BF6128">
        <w:rPr>
          <w:szCs w:val="24"/>
        </w:rPr>
        <w:t xml:space="preserve">a cuarta y última partida del convenio suscrito el 28 de junio de 2012 entre dicho Ministerio y </w:t>
      </w:r>
      <w:smartTag w:uri="urn:schemas-microsoft-com:office:smarttags" w:element="PersonName">
        <w:smartTagPr>
          <w:attr w:name="ProductID" w:val="la Asociación Civil"/>
        </w:smartTagPr>
        <w:smartTag w:uri="urn:schemas-microsoft-com:office:smarttags" w:element="PersonName">
          <w:smartTagPr>
            <w:attr w:name="ProductID" w:val="la Asociación"/>
          </w:smartTagPr>
          <w:r w:rsidRPr="00BF6128">
            <w:rPr>
              <w:szCs w:val="24"/>
            </w:rPr>
            <w:t>la Asociación</w:t>
          </w:r>
        </w:smartTag>
        <w:r w:rsidRPr="00BF6128">
          <w:rPr>
            <w:szCs w:val="24"/>
          </w:rPr>
          <w:t xml:space="preserve"> Civil</w:t>
        </w:r>
      </w:smartTag>
      <w:r w:rsidRPr="00BF6128">
        <w:rPr>
          <w:szCs w:val="24"/>
        </w:rPr>
        <w:t xml:space="preserve"> Centro de Participación Popular; </w:t>
      </w:r>
    </w:p>
    <w:p w:rsidR="00C13B47" w:rsidRPr="00B56FC6" w:rsidRDefault="00C13B47" w:rsidP="00E874AD">
      <w:pPr>
        <w:spacing w:line="360" w:lineRule="auto"/>
        <w:ind w:firstLine="708"/>
        <w:rPr>
          <w:szCs w:val="24"/>
        </w:rPr>
      </w:pPr>
      <w:r w:rsidRPr="00B56FC6">
        <w:rPr>
          <w:b/>
          <w:szCs w:val="24"/>
        </w:rPr>
        <w:t>CONSIDERANDO: 1)</w:t>
      </w:r>
      <w:r>
        <w:rPr>
          <w:b/>
          <w:szCs w:val="24"/>
        </w:rPr>
        <w:t xml:space="preserve"> </w:t>
      </w:r>
      <w:r w:rsidRPr="00B56FC6">
        <w:rPr>
          <w:szCs w:val="24"/>
        </w:rPr>
        <w:t xml:space="preserve">que asiste razón a la Contadora Auditora para proceder a la observación del gasto  correspondiente al último pago a favor de la Asociación Civil “Centro de Participación Popular”, en virtud de que no se dio cumplimiento a lo preceptuado por los Artículos 132 del TOCAF, Art. 416 de </w:t>
      </w:r>
      <w:smartTag w:uri="urn:schemas-microsoft-com:office:smarttags" w:element="PersonName">
        <w:smartTagPr>
          <w:attr w:name="ProductID" w:val="la Ley N"/>
        </w:smartTagPr>
        <w:smartTag w:uri="urn:schemas-microsoft-com:office:smarttags" w:element="PersonName">
          <w:smartTagPr>
            <w:attr w:name="ProductID" w:val="la Ley"/>
          </w:smartTagPr>
          <w:r w:rsidRPr="00B56FC6">
            <w:rPr>
              <w:szCs w:val="24"/>
            </w:rPr>
            <w:t>la Ley</w:t>
          </w:r>
        </w:smartTag>
        <w:r w:rsidRPr="00B56FC6">
          <w:rPr>
            <w:szCs w:val="24"/>
          </w:rPr>
          <w:t xml:space="preserve"> N</w:t>
        </w:r>
      </w:smartTag>
      <w:r w:rsidRPr="00B56FC6">
        <w:rPr>
          <w:szCs w:val="24"/>
        </w:rPr>
        <w:t xml:space="preserve">º 17.930 y Ordenanza Nº  77 de este Tribunal; </w:t>
      </w:r>
    </w:p>
    <w:p w:rsidR="00C13B47" w:rsidRPr="00B56FC6" w:rsidRDefault="00C13B47" w:rsidP="00B56FC6">
      <w:pPr>
        <w:spacing w:after="0" w:line="360" w:lineRule="auto"/>
        <w:ind w:firstLine="2835"/>
        <w:rPr>
          <w:bCs/>
        </w:rPr>
      </w:pPr>
      <w:r w:rsidRPr="00B56FC6">
        <w:rPr>
          <w:b/>
          <w:bCs/>
        </w:rPr>
        <w:t>2)</w:t>
      </w:r>
      <w:r>
        <w:rPr>
          <w:b/>
          <w:bCs/>
        </w:rPr>
        <w:t xml:space="preserve"> </w:t>
      </w:r>
      <w:r w:rsidRPr="00B56FC6">
        <w:rPr>
          <w:bCs/>
        </w:rPr>
        <w:t xml:space="preserve">que se mantienen incambiadas las razones por las cuales se observó el gasto de referencia, no esgrimiéndose por parte de la Administración argumentos que ameriten su reconsideración y subsiguiente levantamiento;  </w:t>
      </w:r>
    </w:p>
    <w:p w:rsidR="00C13B47" w:rsidRDefault="00C13B47" w:rsidP="00B56FC6">
      <w:pPr>
        <w:spacing w:after="0" w:line="360" w:lineRule="auto"/>
        <w:ind w:firstLine="708"/>
        <w:rPr>
          <w:b/>
          <w:bCs/>
        </w:rPr>
      </w:pPr>
      <w:r w:rsidRPr="00B56FC6">
        <w:rPr>
          <w:b/>
          <w:bCs/>
        </w:rPr>
        <w:t xml:space="preserve">ATENTO: </w:t>
      </w:r>
      <w:r w:rsidRPr="00B56FC6">
        <w:rPr>
          <w:bCs/>
        </w:rPr>
        <w:t>a lo precedentemente expuesto;</w:t>
      </w:r>
      <w:r>
        <w:rPr>
          <w:b/>
          <w:bCs/>
        </w:rPr>
        <w:t xml:space="preserve"> </w:t>
      </w:r>
    </w:p>
    <w:p w:rsidR="00C13B47" w:rsidRPr="00B56FC6" w:rsidRDefault="00C13B47" w:rsidP="00B56FC6">
      <w:pPr>
        <w:spacing w:after="0" w:line="360" w:lineRule="auto"/>
        <w:jc w:val="center"/>
        <w:rPr>
          <w:b/>
          <w:bCs/>
        </w:rPr>
      </w:pPr>
      <w:r w:rsidRPr="00B56FC6">
        <w:rPr>
          <w:b/>
          <w:bCs/>
        </w:rPr>
        <w:t>EL TRIBUNAL ACUERDA</w:t>
      </w:r>
    </w:p>
    <w:p w:rsidR="00C13B47" w:rsidRPr="0048463D" w:rsidRDefault="00B56FC6" w:rsidP="00B56FC6">
      <w:pPr>
        <w:spacing w:after="0" w:line="360" w:lineRule="auto"/>
        <w:rPr>
          <w:rFonts w:cs="Arial"/>
          <w:b/>
        </w:rPr>
      </w:pPr>
      <w:r>
        <w:rPr>
          <w:rFonts w:cs="Arial"/>
          <w:b/>
        </w:rPr>
        <w:t xml:space="preserve">1) </w:t>
      </w:r>
      <w:r w:rsidR="00C13B47" w:rsidRPr="00B56FC6">
        <w:rPr>
          <w:rFonts w:cs="Arial"/>
        </w:rPr>
        <w:t>Mantener la observación formulada con fecha 2 de agosto de 2013.</w:t>
      </w:r>
    </w:p>
    <w:p w:rsidR="00C13B47" w:rsidRPr="00B56FC6" w:rsidRDefault="00B56FC6" w:rsidP="00B56FC6">
      <w:pPr>
        <w:spacing w:after="0" w:line="360" w:lineRule="auto"/>
        <w:rPr>
          <w:rFonts w:cs="Arial"/>
        </w:rPr>
      </w:pPr>
      <w:r>
        <w:rPr>
          <w:rFonts w:cs="Arial"/>
          <w:b/>
        </w:rPr>
        <w:t xml:space="preserve">2) </w:t>
      </w:r>
      <w:r w:rsidR="00963C64" w:rsidRPr="00963C64">
        <w:rPr>
          <w:rFonts w:cs="Arial"/>
        </w:rPr>
        <w:t>D</w:t>
      </w:r>
      <w:r>
        <w:rPr>
          <w:rFonts w:cs="Arial"/>
        </w:rPr>
        <w:t>ar cuenta a la Asamblea General; y</w:t>
      </w:r>
    </w:p>
    <w:p w:rsidR="00C13B47" w:rsidRPr="0048463D" w:rsidRDefault="00C13B47" w:rsidP="00B56FC6">
      <w:pPr>
        <w:spacing w:after="0" w:line="360" w:lineRule="auto"/>
        <w:rPr>
          <w:rFonts w:cs="Arial"/>
          <w:b/>
          <w:sz w:val="20"/>
        </w:rPr>
      </w:pPr>
      <w:r w:rsidRPr="0048463D">
        <w:rPr>
          <w:rFonts w:cs="Arial"/>
          <w:b/>
          <w:bCs/>
        </w:rPr>
        <w:t>3</w:t>
      </w:r>
      <w:r w:rsidR="00B56FC6">
        <w:rPr>
          <w:rFonts w:cs="Arial"/>
          <w:b/>
          <w:bCs/>
        </w:rPr>
        <w:t>)</w:t>
      </w:r>
      <w:r w:rsidR="00237C6B">
        <w:rPr>
          <w:rFonts w:cs="Arial"/>
          <w:b/>
          <w:bCs/>
        </w:rPr>
        <w:t xml:space="preserve"> </w:t>
      </w:r>
      <w:r w:rsidR="00237C6B" w:rsidRPr="00237C6B">
        <w:rPr>
          <w:rFonts w:cs="Arial"/>
        </w:rPr>
        <w:t>Devolver</w:t>
      </w:r>
      <w:r w:rsidRPr="00B56FC6">
        <w:rPr>
          <w:rFonts w:cs="Arial"/>
        </w:rPr>
        <w:t xml:space="preserve"> a la Administración actuante.</w:t>
      </w:r>
      <w:r w:rsidRPr="0048463D">
        <w:rPr>
          <w:rFonts w:cs="Arial"/>
          <w:b/>
        </w:rPr>
        <w:t xml:space="preserve"> </w:t>
      </w:r>
    </w:p>
    <w:p w:rsidR="009571A1" w:rsidRDefault="009571A1">
      <w:bookmarkStart w:id="0" w:name="_GoBack"/>
      <w:bookmarkEnd w:id="0"/>
    </w:p>
    <w:p w:rsidR="00B56FC6" w:rsidRDefault="00B56FC6"/>
    <w:p w:rsidR="00B56FC6" w:rsidRDefault="00B56FC6"/>
    <w:p w:rsidR="00B56FC6" w:rsidRDefault="00B56FC6"/>
    <w:p w:rsidR="00B56FC6" w:rsidRDefault="00B56FC6">
      <w:proofErr w:type="spellStart"/>
      <w:proofErr w:type="gramStart"/>
      <w:r>
        <w:t>cr</w:t>
      </w:r>
      <w:proofErr w:type="spellEnd"/>
      <w:proofErr w:type="gramEnd"/>
    </w:p>
    <w:sectPr w:rsidR="00B56FC6" w:rsidSect="00B56FC6">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47"/>
    <w:rsid w:val="00046E18"/>
    <w:rsid w:val="00237C6B"/>
    <w:rsid w:val="005F6A39"/>
    <w:rsid w:val="009571A1"/>
    <w:rsid w:val="00963C64"/>
    <w:rsid w:val="00B56FC6"/>
    <w:rsid w:val="00BF6128"/>
    <w:rsid w:val="00C13B47"/>
    <w:rsid w:val="00E874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eastAsia="en-US"/>
    </w:rPr>
  </w:style>
  <w:style w:type="paragraph" w:styleId="Ttulo2">
    <w:name w:val="heading 2"/>
    <w:basedOn w:val="Normal"/>
    <w:next w:val="Normal"/>
    <w:link w:val="Ttulo2Car"/>
    <w:qFormat/>
    <w:rsid w:val="00C13B47"/>
    <w:pPr>
      <w:keepNext/>
      <w:spacing w:after="0" w:line="240" w:lineRule="auto"/>
      <w:jc w:val="center"/>
      <w:outlineLvl w:val="1"/>
    </w:pPr>
    <w:rPr>
      <w:rFonts w:eastAsia="Times New Roman"/>
      <w:b/>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3B47"/>
    <w:rPr>
      <w:rFonts w:eastAsia="Times New Roman"/>
      <w:b/>
      <w:color w:val="000000"/>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eastAsia="en-US"/>
    </w:rPr>
  </w:style>
  <w:style w:type="paragraph" w:styleId="Ttulo2">
    <w:name w:val="heading 2"/>
    <w:basedOn w:val="Normal"/>
    <w:next w:val="Normal"/>
    <w:link w:val="Ttulo2Car"/>
    <w:qFormat/>
    <w:rsid w:val="00C13B47"/>
    <w:pPr>
      <w:keepNext/>
      <w:spacing w:after="0" w:line="240" w:lineRule="auto"/>
      <w:jc w:val="center"/>
      <w:outlineLvl w:val="1"/>
    </w:pPr>
    <w:rPr>
      <w:rFonts w:eastAsia="Times New Roman"/>
      <w:b/>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3B47"/>
    <w:rPr>
      <w:rFonts w:eastAsia="Times New Roman"/>
      <w:b/>
      <w:color w:val="00000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Cristina Rivero</dc:creator>
  <cp:keywords/>
  <dc:description/>
  <cp:lastModifiedBy>Miriam Cristina Rivero</cp:lastModifiedBy>
  <cp:revision>2</cp:revision>
  <cp:lastPrinted>2013-12-16T13:54:00Z</cp:lastPrinted>
  <dcterms:created xsi:type="dcterms:W3CDTF">2013-12-16T13:54:00Z</dcterms:created>
  <dcterms:modified xsi:type="dcterms:W3CDTF">2013-12-16T13:54:00Z</dcterms:modified>
</cp:coreProperties>
</file>