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B" w:rsidRDefault="00314A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14A5B" w:rsidRDefault="00314A5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4A5B" w:rsidRDefault="00314A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14A5B" w:rsidRDefault="00314A5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4A5B" w:rsidRDefault="00314A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314A5B" w:rsidRDefault="00314A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4A5B" w:rsidRDefault="00314A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14A5B">
        <w:rPr>
          <w:rFonts w:ascii="Helvetica" w:hAnsi="Helvetica"/>
          <w:b/>
          <w:lang w:val="es-UY"/>
        </w:rPr>
        <w:t xml:space="preserve">(E. E. Nº 2012-17-1-0000737, </w:t>
      </w:r>
      <w:proofErr w:type="spellStart"/>
      <w:r w:rsidRPr="00314A5B">
        <w:rPr>
          <w:rFonts w:ascii="Helvetica" w:hAnsi="Helvetica"/>
          <w:b/>
          <w:lang w:val="es-UY"/>
        </w:rPr>
        <w:t>Ent</w:t>
      </w:r>
      <w:proofErr w:type="spellEnd"/>
      <w:r w:rsidRPr="00314A5B">
        <w:rPr>
          <w:rFonts w:ascii="Helvetica" w:hAnsi="Helvetica"/>
          <w:b/>
          <w:lang w:val="es-UY"/>
        </w:rPr>
        <w:t>. N° 7059/13)</w:t>
      </w:r>
    </w:p>
    <w:p w:rsidR="00EA6D93" w:rsidRPr="00314A5B" w:rsidRDefault="00EA6D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14A5B" w:rsidRPr="00314A5B" w:rsidRDefault="00314A5B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807D03" w:rsidRDefault="00807D03" w:rsidP="009B0301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estas actuaciones remitidas por el Ministerio de Transporte y Obras Públicas (MTOP), relacionadas con el gasto derivado del convenio celebrado con el Ministerio de Desarrollo Social (MIDES) que tuvo por objeto concretar el </w:t>
      </w:r>
      <w:r w:rsidR="00E24B37">
        <w:rPr>
          <w:rFonts w:cs="Arial"/>
        </w:rPr>
        <w:t>P</w:t>
      </w:r>
      <w:r>
        <w:rPr>
          <w:rFonts w:cs="Arial"/>
        </w:rPr>
        <w:t xml:space="preserve">royecto “Obra </w:t>
      </w:r>
      <w:r w:rsidR="00E24B37">
        <w:rPr>
          <w:rFonts w:cs="Arial"/>
        </w:rPr>
        <w:t>J</w:t>
      </w:r>
      <w:r>
        <w:rPr>
          <w:rFonts w:cs="Arial"/>
        </w:rPr>
        <w:t xml:space="preserve">oven” fondos </w:t>
      </w:r>
      <w:proofErr w:type="spellStart"/>
      <w:r>
        <w:rPr>
          <w:rFonts w:cs="Arial"/>
        </w:rPr>
        <w:t>concursables</w:t>
      </w:r>
      <w:proofErr w:type="spellEnd"/>
      <w:r>
        <w:rPr>
          <w:rFonts w:cs="Arial"/>
        </w:rPr>
        <w:t>;</w:t>
      </w:r>
    </w:p>
    <w:p w:rsidR="00807D03" w:rsidRDefault="00807D03" w:rsidP="009B0301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>
        <w:rPr>
          <w:rFonts w:cs="Arial"/>
        </w:rPr>
        <w:t xml:space="preserve"> que, </w:t>
      </w:r>
      <w:r w:rsidR="00E24B37">
        <w:rPr>
          <w:rFonts w:cs="Arial"/>
        </w:rPr>
        <w:t>este Tribunal con fecha 20/9/13</w:t>
      </w:r>
      <w:r>
        <w:rPr>
          <w:rFonts w:cs="Arial"/>
        </w:rPr>
        <w:t xml:space="preserve"> </w:t>
      </w:r>
      <w:r w:rsidR="00B01A27">
        <w:rPr>
          <w:rFonts w:cs="Arial"/>
        </w:rPr>
        <w:t xml:space="preserve">resolvió </w:t>
      </w:r>
      <w:r>
        <w:rPr>
          <w:rFonts w:cs="Arial"/>
        </w:rPr>
        <w:t>que cuando el Poder Ejecutivo disp</w:t>
      </w:r>
      <w:r w:rsidR="00B01A27">
        <w:rPr>
          <w:rFonts w:cs="Arial"/>
        </w:rPr>
        <w:t>usiera</w:t>
      </w:r>
      <w:r>
        <w:rPr>
          <w:rFonts w:cs="Arial"/>
        </w:rPr>
        <w:t xml:space="preserve"> el gasto en la forma propuesta, se cometía al Contador Delegado la intervención del gasto de $ 20.000.000, previo control de su imputación con cargo a </w:t>
      </w:r>
      <w:r w:rsidR="00E24B37">
        <w:rPr>
          <w:rFonts w:cs="Arial"/>
        </w:rPr>
        <w:t>G</w:t>
      </w:r>
      <w:r>
        <w:rPr>
          <w:rFonts w:cs="Arial"/>
        </w:rPr>
        <w:t>rupo adecuado con disponibilidad suficiente y de la coincidencia con los antecedentes oportunamente remitidos;</w:t>
      </w:r>
    </w:p>
    <w:p w:rsidR="00807D03" w:rsidRDefault="00807D03" w:rsidP="009B0301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2)</w:t>
      </w:r>
      <w:r>
        <w:rPr>
          <w:rFonts w:cs="Arial"/>
        </w:rPr>
        <w:t xml:space="preserve"> que por Resolución  del Poder Ejecutivo  de fecha 4/3/13, se aprobó el convenio en cuestión;</w:t>
      </w:r>
    </w:p>
    <w:p w:rsidR="00807D03" w:rsidRDefault="00807D03" w:rsidP="009B0301">
      <w:pPr>
        <w:pStyle w:val="Sangradetextonormal"/>
        <w:widowControl w:val="0"/>
        <w:ind w:firstLine="2694"/>
        <w:jc w:val="both"/>
        <w:rPr>
          <w:rFonts w:cs="Arial"/>
        </w:rPr>
      </w:pPr>
      <w:r>
        <w:rPr>
          <w:rFonts w:cs="Arial"/>
          <w:b/>
        </w:rPr>
        <w:t>3)</w:t>
      </w:r>
      <w:r>
        <w:rPr>
          <w:rFonts w:cs="Arial"/>
        </w:rPr>
        <w:t xml:space="preserve"> que teniendo en cuenta que el </w:t>
      </w:r>
      <w:r w:rsidR="00E24B37">
        <w:rPr>
          <w:rFonts w:cs="Arial"/>
        </w:rPr>
        <w:t>L</w:t>
      </w:r>
      <w:r>
        <w:rPr>
          <w:rFonts w:cs="Arial"/>
        </w:rPr>
        <w:t xml:space="preserve">lamado previsto  en el </w:t>
      </w:r>
      <w:r w:rsidR="00E24B37">
        <w:rPr>
          <w:rFonts w:cs="Arial"/>
        </w:rPr>
        <w:t>C</w:t>
      </w:r>
      <w:r>
        <w:rPr>
          <w:rFonts w:cs="Arial"/>
        </w:rPr>
        <w:t>onvenio había sido realizado en el año 2012, lo cual evidenciaba que el mismo se había comenzado a ejecutar sin la correspondiente Resolución del Poder  Ejecutivo que lo autori</w:t>
      </w:r>
      <w:r w:rsidR="00B01A27">
        <w:rPr>
          <w:rFonts w:cs="Arial"/>
        </w:rPr>
        <w:t>zara</w:t>
      </w:r>
      <w:r>
        <w:rPr>
          <w:rFonts w:cs="Arial"/>
        </w:rPr>
        <w:t xml:space="preserve">, la Contadora Auditora, con fecha 23/10/13,  observó el gasto por  incumplimiento de lo dispuesto en el </w:t>
      </w:r>
      <w:r w:rsidR="00314A5B">
        <w:rPr>
          <w:rFonts w:cs="Arial"/>
        </w:rPr>
        <w:t>A</w:t>
      </w:r>
      <w:r>
        <w:rPr>
          <w:rFonts w:cs="Arial"/>
        </w:rPr>
        <w:t xml:space="preserve">rtículo 211 </w:t>
      </w:r>
      <w:r w:rsidR="00314A5B">
        <w:rPr>
          <w:rFonts w:cs="Arial"/>
        </w:rPr>
        <w:t>L</w:t>
      </w:r>
      <w:r>
        <w:rPr>
          <w:rFonts w:cs="Arial"/>
        </w:rPr>
        <w:t xml:space="preserve">iteral </w:t>
      </w:r>
      <w:r w:rsidR="00314A5B">
        <w:rPr>
          <w:rFonts w:cs="Arial"/>
        </w:rPr>
        <w:t>B</w:t>
      </w:r>
      <w:r>
        <w:rPr>
          <w:rFonts w:cs="Arial"/>
        </w:rPr>
        <w:t xml:space="preserve">) de la Constitución </w:t>
      </w:r>
      <w:r w:rsidR="00314A5B">
        <w:rPr>
          <w:rFonts w:cs="Arial"/>
        </w:rPr>
        <w:t xml:space="preserve">de la República </w:t>
      </w:r>
      <w:r>
        <w:rPr>
          <w:rFonts w:cs="Arial"/>
        </w:rPr>
        <w:t xml:space="preserve">y el </w:t>
      </w:r>
      <w:r w:rsidR="00314A5B">
        <w:rPr>
          <w:rFonts w:cs="Arial"/>
        </w:rPr>
        <w:t>A</w:t>
      </w:r>
      <w:r>
        <w:rPr>
          <w:rFonts w:cs="Arial"/>
        </w:rPr>
        <w:t>rtículo 14 del TOCAF;</w:t>
      </w:r>
    </w:p>
    <w:p w:rsidR="00807D03" w:rsidRDefault="00807D03" w:rsidP="009B0301">
      <w:pPr>
        <w:pStyle w:val="Sangradetextonormal"/>
        <w:widowControl w:val="0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que en esta oportunidad, se remite Resolución del Poder Ejecutivo dictada el 2/12/13, por la cual, considerando el interés en la realización del </w:t>
      </w:r>
      <w:r w:rsidR="00E24B37">
        <w:rPr>
          <w:rFonts w:cs="Arial"/>
        </w:rPr>
        <w:t>P</w:t>
      </w:r>
      <w:r>
        <w:rPr>
          <w:rFonts w:cs="Arial"/>
        </w:rPr>
        <w:t xml:space="preserve">rograma previsto en el </w:t>
      </w:r>
      <w:r w:rsidR="00E24B37">
        <w:rPr>
          <w:rFonts w:cs="Arial"/>
        </w:rPr>
        <w:t>C</w:t>
      </w:r>
      <w:r>
        <w:rPr>
          <w:rFonts w:cs="Arial"/>
        </w:rPr>
        <w:t xml:space="preserve">onvenio, se resuelve insistir en el gasto; </w:t>
      </w:r>
    </w:p>
    <w:p w:rsidR="00807D03" w:rsidRDefault="00807D03" w:rsidP="009B0301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  <w:b/>
          <w:bCs/>
        </w:rPr>
        <w:t xml:space="preserve">1) </w:t>
      </w:r>
      <w:r w:rsidR="000C5F82">
        <w:rPr>
          <w:rFonts w:cs="Arial"/>
        </w:rPr>
        <w:t>que el A</w:t>
      </w:r>
      <w:r>
        <w:rPr>
          <w:rFonts w:cs="Arial"/>
        </w:rPr>
        <w:t xml:space="preserve">rtículo 475 de la Ley 17.996 dispone que  “los </w:t>
      </w:r>
      <w:r w:rsidR="000C5F82">
        <w:rPr>
          <w:rFonts w:cs="Arial"/>
        </w:rPr>
        <w:t>O</w:t>
      </w:r>
      <w:r>
        <w:rPr>
          <w:rFonts w:cs="Arial"/>
        </w:rPr>
        <w:t xml:space="preserve">rdenadores de gastos o pagos al ejercer la facultad de insistencia o </w:t>
      </w:r>
      <w:r>
        <w:rPr>
          <w:rFonts w:cs="Arial"/>
        </w:rPr>
        <w:lastRenderedPageBreak/>
        <w:t xml:space="preserve">reiteración  que les acuerda  el </w:t>
      </w:r>
      <w:r w:rsidR="000C5F82">
        <w:rPr>
          <w:rFonts w:cs="Arial"/>
        </w:rPr>
        <w:t>L</w:t>
      </w:r>
      <w:r>
        <w:rPr>
          <w:rFonts w:cs="Arial"/>
        </w:rPr>
        <w:t xml:space="preserve">iteral B) del </w:t>
      </w:r>
      <w:r w:rsidR="000C5F82">
        <w:rPr>
          <w:rFonts w:cs="Arial"/>
        </w:rPr>
        <w:t>A</w:t>
      </w:r>
      <w:r>
        <w:rPr>
          <w:rFonts w:cs="Arial"/>
        </w:rPr>
        <w:t>rtículo 211 de la Constitución</w:t>
      </w:r>
      <w:r w:rsidR="000C5F82">
        <w:rPr>
          <w:rFonts w:cs="Arial"/>
        </w:rPr>
        <w:t xml:space="preserve"> de la República</w:t>
      </w:r>
      <w:r>
        <w:rPr>
          <w:rFonts w:cs="Arial"/>
        </w:rPr>
        <w:t>, deberán hacerlo en forma fundada, expresando de manera  detallada los motivos que justifican a su juicio seguir el curso del gasto o el  pago”;</w:t>
      </w:r>
    </w:p>
    <w:p w:rsidR="00807D03" w:rsidRDefault="00807D03" w:rsidP="000C5F82">
      <w:pPr>
        <w:spacing w:line="360" w:lineRule="auto"/>
        <w:ind w:firstLine="2977"/>
        <w:jc w:val="both"/>
        <w:rPr>
          <w:rFonts w:cs="Arial"/>
          <w:bCs/>
        </w:rPr>
      </w:pPr>
      <w:r>
        <w:rPr>
          <w:rFonts w:cs="Arial"/>
          <w:b/>
          <w:lang w:val="es-MX"/>
        </w:rPr>
        <w:t>2)</w:t>
      </w:r>
      <w:r>
        <w:rPr>
          <w:rFonts w:cs="Arial"/>
          <w:bCs/>
        </w:rPr>
        <w:t xml:space="preserve"> que los motivos alegados por la Administración para insistir  en el  gasto son de oportunidad y conveniencia</w:t>
      </w:r>
      <w:r w:rsidR="00B01A27">
        <w:rPr>
          <w:rFonts w:cs="Arial"/>
          <w:bCs/>
        </w:rPr>
        <w:t>,</w:t>
      </w:r>
      <w:r>
        <w:rPr>
          <w:rFonts w:cs="Arial"/>
          <w:bCs/>
        </w:rPr>
        <w:t xml:space="preserve"> no de legalidad; </w:t>
      </w:r>
    </w:p>
    <w:p w:rsidR="00807D03" w:rsidRDefault="00807D03" w:rsidP="009B0301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ATENTO:</w:t>
      </w:r>
      <w:r>
        <w:rPr>
          <w:rFonts w:cs="Arial"/>
          <w:bCs/>
          <w:lang w:val="es-MX"/>
        </w:rPr>
        <w:t xml:space="preserve"> a</w:t>
      </w:r>
      <w:r>
        <w:rPr>
          <w:rFonts w:cs="Arial"/>
          <w:lang w:val="es-MX"/>
        </w:rPr>
        <w:t xml:space="preserve"> lo precedentemente expuesto y a lo dispuesto por el </w:t>
      </w:r>
      <w:r w:rsidR="000C5F8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Literal B) de la Constitución  de la República;             </w:t>
      </w:r>
    </w:p>
    <w:p w:rsidR="00807D03" w:rsidRDefault="00807D03">
      <w:pPr>
        <w:pStyle w:val="Ttulo4"/>
        <w:rPr>
          <w:rFonts w:cs="Arial"/>
        </w:rPr>
      </w:pPr>
      <w:r>
        <w:rPr>
          <w:rFonts w:cs="Arial"/>
        </w:rPr>
        <w:t>EL TRIBUNAL ACUERDA</w:t>
      </w:r>
    </w:p>
    <w:p w:rsidR="00807D03" w:rsidRDefault="000C5F82" w:rsidP="000C5F82">
      <w:pPr>
        <w:spacing w:line="360" w:lineRule="auto"/>
        <w:ind w:left="284" w:hanging="284"/>
        <w:jc w:val="both"/>
        <w:rPr>
          <w:rFonts w:cs="Arial"/>
        </w:rPr>
      </w:pPr>
      <w:r w:rsidRPr="000C5F82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807D03">
        <w:rPr>
          <w:rFonts w:cs="Arial"/>
        </w:rPr>
        <w:t>Ratificar la observación formulada con fecha 23/10/13 por la Cont</w:t>
      </w:r>
      <w:r w:rsidR="00B01A27">
        <w:rPr>
          <w:rFonts w:cs="Arial"/>
        </w:rPr>
        <w:t>adora Auditora de este Tribunal</w:t>
      </w:r>
      <w:r w:rsidR="0075721A">
        <w:rPr>
          <w:rFonts w:cs="Arial"/>
        </w:rPr>
        <w:t>;</w:t>
      </w:r>
    </w:p>
    <w:p w:rsidR="000C5F82" w:rsidRDefault="000C5F82" w:rsidP="000C5F82">
      <w:pPr>
        <w:spacing w:line="360" w:lineRule="auto"/>
        <w:jc w:val="both"/>
        <w:rPr>
          <w:rFonts w:cs="Arial"/>
          <w:lang w:val="es-MX"/>
        </w:rPr>
      </w:pPr>
      <w:r w:rsidRPr="000C5F82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07D03" w:rsidRPr="00B01A27">
        <w:rPr>
          <w:rFonts w:cs="Arial"/>
          <w:lang w:val="es-MX"/>
        </w:rPr>
        <w:t>Comunicar al Poder Ejecutivo</w:t>
      </w:r>
      <w:r>
        <w:rPr>
          <w:rFonts w:cs="Arial"/>
          <w:lang w:val="es-MX"/>
        </w:rPr>
        <w:t>; y</w:t>
      </w:r>
    </w:p>
    <w:p w:rsidR="00807D03" w:rsidRDefault="000C5F82" w:rsidP="000C5F82">
      <w:pPr>
        <w:spacing w:line="360" w:lineRule="auto"/>
        <w:jc w:val="both"/>
        <w:rPr>
          <w:rFonts w:cs="Arial"/>
        </w:rPr>
      </w:pPr>
      <w:r w:rsidRPr="000C5F82">
        <w:rPr>
          <w:rFonts w:cs="Arial"/>
          <w:b/>
          <w:lang w:val="es-MX"/>
        </w:rPr>
        <w:t>3)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>D</w:t>
      </w:r>
      <w:proofErr w:type="spellStart"/>
      <w:r w:rsidR="00807D03" w:rsidRPr="00B01A27">
        <w:rPr>
          <w:rFonts w:cs="Arial"/>
        </w:rPr>
        <w:t>ar</w:t>
      </w:r>
      <w:proofErr w:type="spellEnd"/>
      <w:r w:rsidR="00807D03" w:rsidRPr="00B01A27">
        <w:rPr>
          <w:rFonts w:cs="Arial"/>
        </w:rPr>
        <w:t xml:space="preserve"> cuenta a la Asamblea General.</w:t>
      </w:r>
    </w:p>
    <w:p w:rsidR="000C5F82" w:rsidRPr="00B01A27" w:rsidRDefault="000C5F82" w:rsidP="000C5F82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0C5F82" w:rsidRPr="00B01A27" w:rsidSect="00314A5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940"/>
    <w:multiLevelType w:val="hybridMultilevel"/>
    <w:tmpl w:val="CA4429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FD"/>
    <w:rsid w:val="000C5F82"/>
    <w:rsid w:val="000F4FE2"/>
    <w:rsid w:val="00314A5B"/>
    <w:rsid w:val="0075721A"/>
    <w:rsid w:val="00807D03"/>
    <w:rsid w:val="009072FD"/>
    <w:rsid w:val="009B0301"/>
    <w:rsid w:val="00B01A27"/>
    <w:rsid w:val="00E24B37"/>
    <w:rsid w:val="00E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semiHidden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1134"/>
    </w:pPr>
  </w:style>
  <w:style w:type="character" w:customStyle="1" w:styleId="SangradetextonormalCar">
    <w:name w:val="Sangría de texto normal Car"/>
    <w:semiHidden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semiHidden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1134"/>
    </w:pPr>
  </w:style>
  <w:style w:type="character" w:customStyle="1" w:styleId="SangradetextonormalCar">
    <w:name w:val="Sangría de texto normal Car"/>
    <w:semiHidden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6</cp:revision>
  <cp:lastPrinted>2014-01-02T14:07:00Z</cp:lastPrinted>
  <dcterms:created xsi:type="dcterms:W3CDTF">2014-01-02T14:08:00Z</dcterms:created>
  <dcterms:modified xsi:type="dcterms:W3CDTF">2014-02-03T14:47:00Z</dcterms:modified>
</cp:coreProperties>
</file>