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AC" w:rsidRDefault="00A722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722AC" w:rsidRDefault="00A722A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22AC" w:rsidRDefault="00A722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722AC" w:rsidRDefault="00A722A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22AC" w:rsidRDefault="00A722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A722AC" w:rsidRDefault="00A722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22AC" w:rsidRPr="00A722AC" w:rsidRDefault="00A722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722AC">
        <w:rPr>
          <w:rFonts w:ascii="Helvetica" w:hAnsi="Helvetica"/>
          <w:b/>
          <w:lang w:val="es-UY"/>
        </w:rPr>
        <w:t>(E. E. Nº 2013-17-1-0007194, Ent. N° 6217/13.)</w:t>
      </w:r>
    </w:p>
    <w:p w:rsidR="00A722AC" w:rsidRPr="00A722AC" w:rsidRDefault="00A722A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Administración Nacional de Combustibles Alcohol y Portland, relacionados con</w:t>
      </w:r>
      <w:r>
        <w:rPr>
          <w:spacing w:val="-3"/>
          <w:lang w:val="es-ES_tradnl"/>
        </w:rPr>
        <w:t xml:space="preserve"> el pago del acuerdo transaccional celebrado con los funcionarios Gustavo D. Gutiérrez, Walter Adrián Aboy González, Miguel Guerra Correa y Carlos Link Coitiño;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</w:pPr>
      <w:r w:rsidRPr="00A722AC">
        <w:rPr>
          <w:b/>
          <w:spacing w:val="8"/>
        </w:rPr>
        <w:tab/>
      </w:r>
      <w:r w:rsidRPr="00A722AC">
        <w:rPr>
          <w:b/>
          <w:spacing w:val="8"/>
        </w:rPr>
        <w:t>RESULTANDO: 1)</w:t>
      </w:r>
      <w:r w:rsidRPr="00A722AC">
        <w:rPr>
          <w:spacing w:val="8"/>
        </w:rPr>
        <w:t xml:space="preserve"> que el Tribunal de lo Contencioso por sentencia Nº</w:t>
      </w:r>
      <w:r>
        <w:t xml:space="preserve"> 792 de 27.11.2012 en autos ca</w:t>
      </w:r>
      <w:r>
        <w:t>ratulados “Gutiérrez Caballero, Gustavo Daniel y otros con Administración Nacional de Combustibles Alcohol y Portland. Acción de nulidad” (Ficha: 754/09) hizo lugar a la acción impetrada por los citados funcionarios reconociéndoles el derecho al cobro de l</w:t>
      </w:r>
      <w:r>
        <w:t>a partida por vivienda prevista en las Resoluciones de Directorio Nos 393/4/985, 2270/12/987 y en el Convenio Colectivo aprobado por Resolución Nº 1363/994, anulando la resolución Nº 1163/12/2008 del Ente que denegara la petición realizada solicitando el p</w:t>
      </w:r>
      <w:r>
        <w:t>ago;</w:t>
      </w:r>
    </w:p>
    <w:p w:rsidR="00000000" w:rsidRDefault="00A722AC" w:rsidP="00A722AC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>
        <w:rPr>
          <w:b/>
          <w:bCs/>
        </w:rPr>
        <w:t>2)</w:t>
      </w:r>
      <w:r>
        <w:t xml:space="preserve"> que el abogado patrocinante en representación de los beneficiarios, por nota de fecha 14.5.2013, propuso arribar a un acuerdo como forma de prevenir un eventual litigio tendiente al cobro de lo adeudado, el que, después de negociaciones mantenidas </w:t>
      </w:r>
      <w:r>
        <w:t>con la Administración fue aceptado por ambas partes acordando la firma de un acuerdo transaccional;</w:t>
      </w:r>
    </w:p>
    <w:p w:rsidR="00000000" w:rsidRDefault="00A722AC" w:rsidP="00A722AC">
      <w:pPr>
        <w:pStyle w:val="Sangradetextonormal"/>
        <w:ind w:firstLine="2552"/>
      </w:pPr>
      <w:r>
        <w:rPr>
          <w:b/>
          <w:bCs/>
        </w:rPr>
        <w:t xml:space="preserve"> </w:t>
      </w:r>
      <w:r>
        <w:rPr>
          <w:b/>
          <w:bCs/>
        </w:rPr>
        <w:t>3)</w:t>
      </w:r>
      <w:r>
        <w:t xml:space="preserve"> que por resolución Nº 1220/9/2013 de 27.9.2013 (Acta Nº 7683) ANCAP aprobó abonar la suma de $ 468.087 a cada uno de los </w:t>
      </w:r>
      <w:r w:rsidRPr="00A722AC">
        <w:rPr>
          <w:spacing w:val="6"/>
        </w:rPr>
        <w:t>litigantes, d</w:t>
      </w:r>
      <w:r w:rsidRPr="00A722AC">
        <w:rPr>
          <w:spacing w:val="6"/>
        </w:rPr>
        <w:t>e dicha suma serán retenidos por concepto de IRPF la suma de $</w:t>
      </w:r>
      <w:r>
        <w:t xml:space="preserve"> 111.978.- además de otras retenciones legales, que comprende el período diciembre de 2005 a julio 2013, comprensivos de todos los créditos pendientes, </w:t>
      </w:r>
      <w:r>
        <w:lastRenderedPageBreak/>
        <w:t>y se condicionó la aprobación del citado c</w:t>
      </w:r>
      <w:r>
        <w:t>onvenio transaccional a la previa intervención del Contador Delegado del Tribunal de Cuentas;</w:t>
      </w:r>
    </w:p>
    <w:p w:rsidR="00000000" w:rsidRDefault="00A722AC" w:rsidP="00A722AC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 </w:t>
      </w:r>
      <w:r w:rsidRPr="00A722AC">
        <w:rPr>
          <w:b/>
        </w:rPr>
        <w:t>4</w:t>
      </w:r>
      <w:r>
        <w:rPr>
          <w:b/>
        </w:rPr>
        <w:t>)</w:t>
      </w:r>
      <w:r>
        <w:t xml:space="preserve">  que por Resolución Nº 1438/10/2013 de 24.10.2013 el Directorio resuelve remitir las actuaciones a este Tribunal para su interv</w:t>
      </w:r>
      <w:r>
        <w:t>ención en virtud de tratarse de una transacción de carácter extrajudicial;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>
        <w:rPr>
          <w:b/>
          <w:spacing w:val="-3"/>
          <w:lang w:val="es-ES_tradnl"/>
        </w:rPr>
        <w:t>CONSIDERANDO:</w:t>
      </w:r>
      <w:r>
        <w:rPr>
          <w:bCs/>
          <w:spacing w:val="-3"/>
          <w:lang w:val="es-ES_tradnl"/>
        </w:rPr>
        <w:t xml:space="preserve"> </w:t>
      </w:r>
      <w:r>
        <w:rPr>
          <w:b/>
          <w:spacing w:val="-3"/>
          <w:lang w:val="es-ES_tradnl"/>
        </w:rPr>
        <w:t xml:space="preserve">1) </w:t>
      </w:r>
      <w:r>
        <w:rPr>
          <w:bCs/>
          <w:spacing w:val="-3"/>
          <w:lang w:val="es-ES_tradnl"/>
        </w:rPr>
        <w:t>que por resolución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 en la redacción dada por el A</w:t>
      </w:r>
      <w:r>
        <w:rPr>
          <w:bCs/>
          <w:spacing w:val="-3"/>
          <w:lang w:val="es-ES_tradnl"/>
        </w:rPr>
        <w:t>rtículo</w:t>
      </w:r>
      <w:r>
        <w:rPr>
          <w:bCs/>
          <w:spacing w:val="-3"/>
          <w:lang w:val="es-ES_tradnl"/>
        </w:rPr>
        <w:t xml:space="preserve"> 2 de la Resolución de este Tribunal del 23 de diciembre de</w:t>
      </w:r>
      <w:r>
        <w:rPr>
          <w:bCs/>
          <w:spacing w:val="-3"/>
          <w:lang w:val="es-ES_tradnl"/>
        </w:rPr>
        <w:t xml:space="preserve"> 2009, se dispuso que deben remitirse al mismo, para su intervención, todos los gastos emergentes de transacciones extrajudiciales y laudos  arbitrales, cualquiera sea su monto;                   </w:t>
      </w:r>
    </w:p>
    <w:p w:rsidR="00000000" w:rsidRDefault="00A722AC" w:rsidP="00A722AC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  <w:spacing w:val="-3"/>
          <w:lang w:val="es-ES_tradnl"/>
        </w:rPr>
        <w:t xml:space="preserve"> </w:t>
      </w:r>
      <w:r>
        <w:rPr>
          <w:b/>
          <w:spacing w:val="-3"/>
          <w:lang w:val="es-ES_tradnl"/>
        </w:rPr>
        <w:t xml:space="preserve">2) </w:t>
      </w:r>
      <w:r>
        <w:t xml:space="preserve">que los aspectos que </w:t>
      </w:r>
      <w:r>
        <w:t>refieren a la oportunidad o conveniencia de la transacción propuesta, constituyen una cuestión de mérito cuya apreciación no encuadra en el ámbito de competencia de este Tribunal;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000000" w:rsidRDefault="00A722AC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000000" w:rsidRDefault="00A722AC" w:rsidP="00A722AC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A722AC">
        <w:rPr>
          <w:b/>
          <w:bCs/>
          <w:spacing w:val="10"/>
          <w:lang w:val="es-ES_tradnl"/>
        </w:rPr>
        <w:t>1)</w:t>
      </w:r>
      <w:r w:rsidRPr="00A722AC">
        <w:rPr>
          <w:spacing w:val="10"/>
          <w:lang w:val="es-ES_tradnl"/>
        </w:rPr>
        <w:t xml:space="preserve"> Cometer al Co</w:t>
      </w:r>
      <w:r w:rsidRPr="00A722AC">
        <w:rPr>
          <w:spacing w:val="10"/>
          <w:lang w:val="es-ES_tradnl"/>
        </w:rPr>
        <w:t xml:space="preserve">ntador Delegado la intervención del pago por un total de </w:t>
      </w:r>
      <w:r w:rsidRPr="00A722AC">
        <w:rPr>
          <w:spacing w:val="10"/>
        </w:rPr>
        <w:t>$</w:t>
      </w:r>
      <w:r>
        <w:t xml:space="preserve"> 468.087, para cada uno de los beneficiarios </w:t>
      </w:r>
      <w:r>
        <w:rPr>
          <w:spacing w:val="-3"/>
          <w:lang w:val="es-ES_tradnl"/>
        </w:rPr>
        <w:t>previo control de su imputación con cargo a grupo adecuado con disponibilidad suficiente;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Comunicar al Contador Delegado; y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>
        <w:rPr>
          <w:spacing w:val="-3"/>
          <w:lang w:val="es-ES_tradnl"/>
        </w:rPr>
        <w:t xml:space="preserve">  Devolver las actuacio</w:t>
      </w:r>
      <w:r>
        <w:rPr>
          <w:spacing w:val="-3"/>
          <w:lang w:val="es-ES_tradnl"/>
        </w:rPr>
        <w:t>nes.-</w:t>
      </w:r>
    </w:p>
    <w:p w:rsidR="00000000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A722AC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A722AC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A722AC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  <w:bookmarkStart w:id="0" w:name="_GoBack"/>
      <w:bookmarkEnd w:id="0"/>
    </w:p>
    <w:p w:rsidR="00A722AC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A722AC" w:rsidRPr="00A722AC" w:rsidRDefault="00A722A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 w:rsidRPr="00A722AC">
        <w:rPr>
          <w:spacing w:val="-3"/>
          <w:lang w:val="es-ES_tradnl"/>
        </w:rPr>
        <w:t>cr</w:t>
      </w:r>
    </w:p>
    <w:sectPr w:rsidR="00A722AC" w:rsidRPr="00A722AC">
      <w:headerReference w:type="default" r:id="rId7"/>
      <w:footerReference w:type="even" r:id="rId8"/>
      <w:footerReference w:type="default" r:id="rId9"/>
      <w:pgSz w:w="11907" w:h="16840" w:code="9"/>
      <w:pgMar w:top="2722" w:right="1701" w:bottom="1701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2AC">
      <w:r>
        <w:separator/>
      </w:r>
    </w:p>
  </w:endnote>
  <w:endnote w:type="continuationSeparator" w:id="0">
    <w:p w:rsidR="00000000" w:rsidRDefault="00A7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22A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A722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22A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A722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22AC">
      <w:r>
        <w:separator/>
      </w:r>
    </w:p>
  </w:footnote>
  <w:footnote w:type="continuationSeparator" w:id="0">
    <w:p w:rsidR="00000000" w:rsidRDefault="00A72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22AC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A722AC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5pt;margin-top:0;width:421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" o:allowincell="f" filled="f" stroked="f" strokeweight="0">
              <v:textbox inset="0,0,0,0">
                <w:txbxContent>
                  <w:p w:rsidR="00000000" w:rsidRDefault="00A722AC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000000" w:rsidRDefault="00A722AC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C"/>
    <w:rsid w:val="00A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spacing w:line="360" w:lineRule="auto"/>
      <w:ind w:firstLine="19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spacing w:line="360" w:lineRule="auto"/>
      <w:ind w:firstLine="19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234624</vt:lpstr>
    </vt:vector>
  </TitlesOfParts>
  <Company>Tribunal de Cuentas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234624</dc:title>
  <dc:subject/>
  <dc:creator>TRIBUNAL</dc:creator>
  <cp:keywords/>
  <dc:description/>
  <cp:lastModifiedBy>TRIBUNAL1</cp:lastModifiedBy>
  <cp:revision>2</cp:revision>
  <cp:lastPrinted>2013-11-29T14:39:00Z</cp:lastPrinted>
  <dcterms:created xsi:type="dcterms:W3CDTF">2013-11-29T14:39:00Z</dcterms:created>
  <dcterms:modified xsi:type="dcterms:W3CDTF">2013-11-29T14:39:00Z</dcterms:modified>
</cp:coreProperties>
</file>