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69" w:rsidRDefault="00495B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95B69" w:rsidRDefault="00495B6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95B69" w:rsidRDefault="00495B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95B69" w:rsidRDefault="00495B6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95B69" w:rsidRDefault="00495B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11 DE DICIEMBRE  DE   2013</w:t>
      </w:r>
    </w:p>
    <w:p w:rsidR="00495B69" w:rsidRDefault="00495B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95B69" w:rsidRPr="00495B69" w:rsidRDefault="00495B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95B69">
        <w:rPr>
          <w:rFonts w:ascii="Helvetica" w:hAnsi="Helvetica"/>
          <w:b/>
          <w:lang w:val="es-UY"/>
        </w:rPr>
        <w:t xml:space="preserve">(E. E. Nº 2013-17-1-0007423, </w:t>
      </w:r>
      <w:proofErr w:type="spellStart"/>
      <w:r w:rsidRPr="00495B69">
        <w:rPr>
          <w:rFonts w:ascii="Helvetica" w:hAnsi="Helvetica"/>
          <w:b/>
          <w:lang w:val="es-UY"/>
        </w:rPr>
        <w:t>Ent</w:t>
      </w:r>
      <w:proofErr w:type="spellEnd"/>
      <w:r w:rsidRPr="00495B69">
        <w:rPr>
          <w:rFonts w:ascii="Helvetica" w:hAnsi="Helvetica"/>
          <w:b/>
          <w:lang w:val="es-UY"/>
        </w:rPr>
        <w:t>. N° 6383/13.)</w:t>
      </w:r>
    </w:p>
    <w:p w:rsidR="00495B69" w:rsidRPr="00495B69" w:rsidRDefault="00495B69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495B69" w:rsidRPr="00495B69" w:rsidRDefault="00495B69">
      <w:pPr>
        <w:tabs>
          <w:tab w:val="center" w:pos="4253"/>
        </w:tabs>
        <w:suppressAutoHyphens/>
        <w:rPr>
          <w:spacing w:val="-3"/>
          <w:lang w:val="es-UY"/>
        </w:rPr>
      </w:pPr>
    </w:p>
    <w:p w:rsidR="00B975E3" w:rsidRDefault="0023157B" w:rsidP="00495B69">
      <w:pPr>
        <w:spacing w:line="360" w:lineRule="auto"/>
        <w:ind w:firstLine="708"/>
        <w:jc w:val="both"/>
      </w:pPr>
      <w:r>
        <w:rPr>
          <w:b/>
          <w:bCs/>
        </w:rPr>
        <w:t>VISTO</w:t>
      </w:r>
      <w:r>
        <w:t xml:space="preserve">, estas actuaciones remitidas por el Ministerio de Transporte y Obras Públicas (MTOP), relacionadas con el Convenio celebrado con el Banco Hipotecario del Uruguay (BHU); </w:t>
      </w:r>
    </w:p>
    <w:p w:rsidR="00B975E3" w:rsidRDefault="0023157B" w:rsidP="00495B69">
      <w:pPr>
        <w:spacing w:line="360" w:lineRule="auto"/>
        <w:ind w:firstLine="708"/>
        <w:jc w:val="both"/>
      </w:pPr>
      <w:r>
        <w:rPr>
          <w:b/>
          <w:bCs/>
        </w:rPr>
        <w:t>RESULTANDO: 1)</w:t>
      </w:r>
      <w:r>
        <w:t xml:space="preserve"> que con fecha 29 de octubre de 2013, se celebró convenio entre el Ministerio de Transporte y Obras Públicas y el Banco Hipotecario del Uruguay, cuyo objeto </w:t>
      </w:r>
      <w:r w:rsidR="00495B69">
        <w:t>es l</w:t>
      </w:r>
      <w:r>
        <w:t>a realización de obras y/o trabajos de mantenimiento en el predio y edificio de la “Estación Central General Artigas”, ubicado en la calle La Paz Nº 1095;</w:t>
      </w:r>
    </w:p>
    <w:p w:rsidR="00B975E3" w:rsidRDefault="0023157B" w:rsidP="00495B69">
      <w:pPr>
        <w:spacing w:line="360" w:lineRule="auto"/>
        <w:ind w:firstLine="2694"/>
        <w:jc w:val="both"/>
      </w:pPr>
      <w:r>
        <w:rPr>
          <w:b/>
          <w:bCs/>
        </w:rPr>
        <w:t>2)</w:t>
      </w:r>
      <w:r>
        <w:t xml:space="preserve"> que la Dirección Nacional de Arquitectura del MTOP actuará en las obras bajo la modalidad de régimen de Administración Directa</w:t>
      </w:r>
      <w:r w:rsidR="00DA648F">
        <w:t>,</w:t>
      </w:r>
      <w:r>
        <w:t xml:space="preserve"> </w:t>
      </w:r>
      <w:r w:rsidR="00DA648F">
        <w:t>s</w:t>
      </w:r>
      <w:r>
        <w:t xml:space="preserve">erá de aplicación lo establecido por el </w:t>
      </w:r>
      <w:proofErr w:type="spellStart"/>
      <w:r>
        <w:t>Dec</w:t>
      </w:r>
      <w:proofErr w:type="spellEnd"/>
      <w:r>
        <w:t>. Nº 369/996, por el cual el BHU deberá aportar a la DNA el monto resultante;</w:t>
      </w:r>
    </w:p>
    <w:p w:rsidR="00B975E3" w:rsidRDefault="0023157B" w:rsidP="00495B69">
      <w:pPr>
        <w:spacing w:line="360" w:lineRule="auto"/>
        <w:ind w:firstLine="2694"/>
        <w:jc w:val="both"/>
      </w:pPr>
      <w:r>
        <w:rPr>
          <w:b/>
          <w:bCs/>
        </w:rPr>
        <w:t xml:space="preserve">3) </w:t>
      </w:r>
      <w:r>
        <w:t xml:space="preserve">que se establece en la cláusula Cuarta la posibilidad de elaborar y ejecutar Acuerdos Complementarios de obras y trabajos de mantenimiento y conservación; </w:t>
      </w:r>
    </w:p>
    <w:p w:rsidR="00B975E3" w:rsidRDefault="0023157B" w:rsidP="00495B69">
      <w:pPr>
        <w:spacing w:line="360" w:lineRule="auto"/>
        <w:ind w:firstLine="2694"/>
        <w:jc w:val="both"/>
      </w:pPr>
      <w:r>
        <w:rPr>
          <w:b/>
          <w:bCs/>
        </w:rPr>
        <w:t>4)</w:t>
      </w:r>
      <w:r>
        <w:t xml:space="preserve"> que el B.H.U. se obliga a: a) hacer efectivo al MTOP la suma que demande la obra. B) a solventar los ajustes de precios calculados por el </w:t>
      </w:r>
      <w:proofErr w:type="spellStart"/>
      <w:r>
        <w:t>Indice</w:t>
      </w:r>
      <w:proofErr w:type="spellEnd"/>
      <w:r>
        <w:t xml:space="preserve"> General de Costo de la Construcción e importe por cualquier obra y/o trabajos adicional aprobado por las partes. C) aportar a la DNA en efectivo, previo inicio de las obras o trabajos, el monto </w:t>
      </w:r>
      <w:r w:rsidRPr="00495B69">
        <w:rPr>
          <w:spacing w:val="22"/>
        </w:rPr>
        <w:t>correspondiente. Las transferencias se depositarán en la cuenta Nº</w:t>
      </w:r>
      <w:r>
        <w:t xml:space="preserve"> 152/002441-0 del BROU, de la que es titular la D.N.A;</w:t>
      </w:r>
    </w:p>
    <w:p w:rsidR="00B975E3" w:rsidRDefault="0023157B" w:rsidP="004929C4">
      <w:pPr>
        <w:spacing w:line="360" w:lineRule="auto"/>
        <w:ind w:firstLine="2694"/>
        <w:jc w:val="both"/>
      </w:pPr>
      <w:r>
        <w:rPr>
          <w:b/>
          <w:bCs/>
        </w:rPr>
        <w:lastRenderedPageBreak/>
        <w:t>5)</w:t>
      </w:r>
      <w:r>
        <w:t xml:space="preserve"> </w:t>
      </w:r>
      <w:proofErr w:type="gramStart"/>
      <w:r>
        <w:t>que</w:t>
      </w:r>
      <w:proofErr w:type="gramEnd"/>
      <w:r>
        <w:t xml:space="preserve"> el MTOP por intermedio de la DNA se obliga a: a) la presentación al BHU el cronograma de tiempo de obra y/o trabajos de mantenimiento y estimación de costos; b) la dirección de la obra y/o c) la ejecución, administración y contralor de tal obra y/o trabajos, con todos los equipos e infraestructura necesarios y d) la obra se cumplirá hasta el monto que las partes establezcan de común acuerdo.</w:t>
      </w:r>
    </w:p>
    <w:p w:rsidR="00B975E3" w:rsidRDefault="0023157B" w:rsidP="004929C4">
      <w:pPr>
        <w:spacing w:line="360" w:lineRule="auto"/>
        <w:ind w:firstLine="2694"/>
        <w:jc w:val="both"/>
        <w:rPr>
          <w:b/>
          <w:bCs/>
        </w:rPr>
      </w:pPr>
      <w:r>
        <w:rPr>
          <w:b/>
        </w:rPr>
        <w:t>6)</w:t>
      </w:r>
      <w:r>
        <w:rPr>
          <w:b/>
          <w:bCs/>
        </w:rPr>
        <w:t xml:space="preserve"> </w:t>
      </w:r>
      <w:r>
        <w:t>que el acuerdo se celebra ad referéndum de su aprobación por parte del Poder Ejecutivo, previa intervención del Tribunal de Cuentas;</w:t>
      </w:r>
      <w:r>
        <w:rPr>
          <w:b/>
          <w:bCs/>
        </w:rPr>
        <w:t xml:space="preserve">  </w:t>
      </w:r>
    </w:p>
    <w:p w:rsidR="00B975E3" w:rsidRDefault="0023157B" w:rsidP="004929C4">
      <w:pPr>
        <w:spacing w:line="360" w:lineRule="auto"/>
        <w:ind w:firstLine="2694"/>
        <w:jc w:val="both"/>
      </w:pPr>
      <w:r>
        <w:rPr>
          <w:b/>
          <w:bCs/>
        </w:rPr>
        <w:t xml:space="preserve">7) </w:t>
      </w:r>
      <w:r>
        <w:t>que el BHU por Resolución Nº 0295/13 de 08.10.13, autoriza la suscripción del referido convenio;</w:t>
      </w:r>
      <w:r>
        <w:rPr>
          <w:b/>
          <w:bCs/>
        </w:rPr>
        <w:t xml:space="preserve">            </w:t>
      </w:r>
      <w:r>
        <w:t xml:space="preserve">         </w:t>
      </w:r>
    </w:p>
    <w:p w:rsidR="00B975E3" w:rsidRDefault="0023157B" w:rsidP="004929C4">
      <w:pPr>
        <w:spacing w:line="360" w:lineRule="auto"/>
        <w:ind w:firstLine="708"/>
        <w:jc w:val="both"/>
        <w:rPr>
          <w:rFonts w:cs="Arial"/>
          <w:lang w:val="es-MX"/>
        </w:rPr>
      </w:pPr>
      <w:r>
        <w:rPr>
          <w:b/>
          <w:bCs/>
        </w:rPr>
        <w:t>CONSIDERANDO:</w:t>
      </w:r>
      <w:r>
        <w:rPr>
          <w:rFonts w:cs="Arial"/>
          <w:lang w:val="es-MX"/>
        </w:rPr>
        <w:t xml:space="preserve">  </w:t>
      </w:r>
      <w:r>
        <w:rPr>
          <w:rFonts w:cs="Arial"/>
          <w:b/>
          <w:bCs/>
          <w:lang w:val="es-MX"/>
        </w:rPr>
        <w:t>1)</w:t>
      </w:r>
      <w:r>
        <w:rPr>
          <w:rFonts w:cs="Arial"/>
          <w:lang w:val="es-MX"/>
        </w:rPr>
        <w:t xml:space="preserve"> que el Decreto 223/997 establece que el MTOP tiene competencia para </w:t>
      </w:r>
      <w:r>
        <w:rPr>
          <w:rFonts w:cs="Arial"/>
          <w:color w:val="000000"/>
          <w:szCs w:val="17"/>
        </w:rPr>
        <w:t xml:space="preserve">estudiar, proyectar, dirigir, ejecutar, o en su caso, controlar la ejecución de las obras públicas de arquitectura así como, participar en la ejecución de obras, a través de convenios promovidos por diferentes sectores de la comunidad nacional; </w:t>
      </w:r>
    </w:p>
    <w:p w:rsidR="00B975E3" w:rsidRDefault="0023157B" w:rsidP="004929C4">
      <w:pPr>
        <w:tabs>
          <w:tab w:val="left" w:pos="7920"/>
        </w:tabs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color w:val="000000"/>
          <w:szCs w:val="17"/>
        </w:rPr>
      </w:pPr>
      <w:r>
        <w:rPr>
          <w:rFonts w:cs="Arial"/>
          <w:b/>
          <w:bCs/>
          <w:color w:val="000000"/>
          <w:szCs w:val="17"/>
        </w:rPr>
        <w:t xml:space="preserve">2) </w:t>
      </w:r>
      <w:r>
        <w:rPr>
          <w:rFonts w:cs="Arial"/>
          <w:color w:val="000000"/>
          <w:szCs w:val="17"/>
        </w:rPr>
        <w:t xml:space="preserve">que el </w:t>
      </w:r>
      <w:r w:rsidR="004929C4">
        <w:rPr>
          <w:rFonts w:cs="Arial"/>
          <w:color w:val="000000"/>
          <w:szCs w:val="17"/>
        </w:rPr>
        <w:t>A</w:t>
      </w:r>
      <w:r>
        <w:rPr>
          <w:rFonts w:cs="Arial"/>
          <w:color w:val="000000"/>
          <w:szCs w:val="17"/>
        </w:rPr>
        <w:t>rtículo 96 de la Ley Nº 5.343 otorga al Directorio del BHU amplia</w:t>
      </w:r>
      <w:r w:rsidR="00DA648F">
        <w:rPr>
          <w:rFonts w:cs="Arial"/>
          <w:color w:val="000000"/>
          <w:szCs w:val="17"/>
        </w:rPr>
        <w:t>r</w:t>
      </w:r>
      <w:bookmarkStart w:id="0" w:name="_GoBack"/>
      <w:bookmarkEnd w:id="0"/>
      <w:r>
        <w:rPr>
          <w:rFonts w:cs="Arial"/>
          <w:color w:val="000000"/>
          <w:szCs w:val="17"/>
        </w:rPr>
        <w:t xml:space="preserve"> facultades de administración y disposición para el cumplimiento de sus cometidos; </w:t>
      </w:r>
    </w:p>
    <w:p w:rsidR="00B975E3" w:rsidRDefault="0023157B" w:rsidP="004929C4">
      <w:pPr>
        <w:tabs>
          <w:tab w:val="left" w:pos="7920"/>
        </w:tabs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3) </w:t>
      </w:r>
      <w:r>
        <w:rPr>
          <w:rFonts w:cs="Arial"/>
          <w:color w:val="000000"/>
          <w:szCs w:val="17"/>
        </w:rPr>
        <w:t>que</w:t>
      </w:r>
      <w:r>
        <w:rPr>
          <w:rFonts w:cs="Arial"/>
          <w:lang w:val="es-MX"/>
        </w:rPr>
        <w:t xml:space="preserve"> las partes están habilitadas para celebrar el convenio que se remite;</w:t>
      </w:r>
    </w:p>
    <w:p w:rsidR="00B975E3" w:rsidRDefault="0023157B">
      <w:pPr>
        <w:tabs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                                 4) </w:t>
      </w:r>
      <w:r>
        <w:rPr>
          <w:rFonts w:cs="Arial"/>
          <w:lang w:val="es-MX"/>
        </w:rPr>
        <w:t xml:space="preserve">que el procedimiento directo seguido para la selección del </w:t>
      </w:r>
      <w:proofErr w:type="spellStart"/>
      <w:r>
        <w:rPr>
          <w:rFonts w:cs="Arial"/>
          <w:lang w:val="es-MX"/>
        </w:rPr>
        <w:t>co</w:t>
      </w:r>
      <w:proofErr w:type="spellEnd"/>
      <w:r>
        <w:rPr>
          <w:rFonts w:cs="Arial"/>
          <w:lang w:val="es-MX"/>
        </w:rPr>
        <w:t xml:space="preserve">-contratante, atendiendo a la naturaleza jurídica de las partes del convenio, encuadra en la causal de excepción establecida por el </w:t>
      </w:r>
      <w:r w:rsidR="004929C4">
        <w:rPr>
          <w:rFonts w:cs="Arial"/>
          <w:lang w:val="es-MX"/>
        </w:rPr>
        <w:t>Nume</w:t>
      </w:r>
      <w:r>
        <w:rPr>
          <w:rFonts w:cs="Arial"/>
          <w:lang w:val="es-MX"/>
        </w:rPr>
        <w:t xml:space="preserve">ral 1) del </w:t>
      </w:r>
      <w:r w:rsidR="004929C4">
        <w:rPr>
          <w:rFonts w:cs="Arial"/>
          <w:lang w:val="es-MX"/>
        </w:rPr>
        <w:t>L</w:t>
      </w:r>
      <w:r>
        <w:rPr>
          <w:rFonts w:cs="Arial"/>
          <w:lang w:val="es-MX"/>
        </w:rPr>
        <w:t>it</w:t>
      </w:r>
      <w:r w:rsidR="004929C4">
        <w:rPr>
          <w:rFonts w:cs="Arial"/>
          <w:lang w:val="es-MX"/>
        </w:rPr>
        <w:t xml:space="preserve">eral </w:t>
      </w:r>
      <w:r>
        <w:rPr>
          <w:rFonts w:cs="Arial"/>
          <w:lang w:val="es-MX"/>
        </w:rPr>
        <w:t xml:space="preserve"> </w:t>
      </w:r>
      <w:r w:rsidR="004929C4">
        <w:rPr>
          <w:rFonts w:cs="Arial"/>
          <w:lang w:val="es-MX"/>
        </w:rPr>
        <w:t>C</w:t>
      </w:r>
      <w:r>
        <w:rPr>
          <w:rFonts w:cs="Arial"/>
          <w:lang w:val="es-MX"/>
        </w:rPr>
        <w:t xml:space="preserve">) </w:t>
      </w:r>
      <w:r w:rsidR="004929C4">
        <w:rPr>
          <w:rFonts w:cs="Arial"/>
          <w:lang w:val="es-MX"/>
        </w:rPr>
        <w:t>A</w:t>
      </w:r>
      <w:r>
        <w:rPr>
          <w:rFonts w:cs="Arial"/>
          <w:lang w:val="es-MX"/>
        </w:rPr>
        <w:t>rt</w:t>
      </w:r>
      <w:r w:rsidR="004929C4">
        <w:rPr>
          <w:rFonts w:cs="Arial"/>
          <w:lang w:val="es-MX"/>
        </w:rPr>
        <w:t xml:space="preserve">ículo </w:t>
      </w:r>
      <w:r>
        <w:rPr>
          <w:rFonts w:cs="Arial"/>
          <w:lang w:val="es-MX"/>
        </w:rPr>
        <w:t xml:space="preserve"> 33 del TOCAF;</w:t>
      </w:r>
    </w:p>
    <w:p w:rsidR="00B975E3" w:rsidRDefault="0023157B" w:rsidP="004929C4">
      <w:pPr>
        <w:spacing w:line="360" w:lineRule="auto"/>
        <w:ind w:firstLine="708"/>
        <w:jc w:val="both"/>
      </w:pPr>
      <w:r>
        <w:rPr>
          <w:b/>
          <w:bCs/>
        </w:rPr>
        <w:t>ATENTO</w:t>
      </w:r>
      <w:r w:rsidR="004929C4">
        <w:rPr>
          <w:b/>
          <w:bCs/>
        </w:rPr>
        <w:t>:</w:t>
      </w:r>
      <w:r>
        <w:t xml:space="preserve"> a lo precedentemente expuesto y a lo dispuesto por el </w:t>
      </w:r>
      <w:r w:rsidR="004929C4">
        <w:t>A</w:t>
      </w:r>
      <w:r>
        <w:t xml:space="preserve">rtículo 211 </w:t>
      </w:r>
      <w:r w:rsidR="004929C4">
        <w:t>L</w:t>
      </w:r>
      <w:r>
        <w:t xml:space="preserve">iteral B) de la Constitución de la República; </w:t>
      </w:r>
    </w:p>
    <w:p w:rsidR="00B975E3" w:rsidRDefault="00B975E3">
      <w:pPr>
        <w:spacing w:line="360" w:lineRule="auto"/>
        <w:jc w:val="both"/>
        <w:rPr>
          <w:b/>
          <w:bCs/>
        </w:rPr>
      </w:pPr>
    </w:p>
    <w:p w:rsidR="004929C4" w:rsidRDefault="004929C4">
      <w:pPr>
        <w:spacing w:line="360" w:lineRule="auto"/>
        <w:jc w:val="both"/>
        <w:rPr>
          <w:b/>
          <w:bCs/>
        </w:rPr>
      </w:pPr>
    </w:p>
    <w:p w:rsidR="00B975E3" w:rsidRDefault="0023157B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EL TRIBUNAL ACUERDA:</w:t>
      </w:r>
    </w:p>
    <w:p w:rsidR="00B975E3" w:rsidRDefault="004929C4" w:rsidP="004929C4">
      <w:pPr>
        <w:spacing w:line="360" w:lineRule="auto"/>
        <w:ind w:left="284" w:hanging="284"/>
        <w:jc w:val="both"/>
      </w:pPr>
      <w:r w:rsidRPr="004929C4">
        <w:rPr>
          <w:b/>
        </w:rPr>
        <w:t>1)</w:t>
      </w:r>
      <w:r>
        <w:t xml:space="preserve"> </w:t>
      </w:r>
      <w:r w:rsidR="0023157B">
        <w:t>Cuando el Poder Ejecutivo disponga el gasto en la forma prevista, se comete a la Contadora Auditora la intervención del gasto que resulte del convenio específico más los ajustes de variación de precio, previo control de su imputación con cargo a grupo adecuado con disponibilidad suficiente</w:t>
      </w:r>
      <w:r w:rsidR="0023157B">
        <w:rPr>
          <w:rFonts w:cs="Arial"/>
        </w:rPr>
        <w:t xml:space="preserve"> del cumplimiento de la rendición de cuentas de las transferencias efectuadas en el marco del convenio, conforme lo dispone el </w:t>
      </w:r>
      <w:r>
        <w:rPr>
          <w:rFonts w:cs="Arial"/>
        </w:rPr>
        <w:t>A</w:t>
      </w:r>
      <w:r w:rsidR="0023157B">
        <w:rPr>
          <w:rFonts w:cs="Arial"/>
        </w:rPr>
        <w:t xml:space="preserve">rtículo 132 del TOCAF y el </w:t>
      </w:r>
      <w:r>
        <w:rPr>
          <w:rFonts w:cs="Arial"/>
        </w:rPr>
        <w:t>A</w:t>
      </w:r>
      <w:r w:rsidR="0023157B">
        <w:rPr>
          <w:rFonts w:cs="Arial"/>
        </w:rPr>
        <w:t xml:space="preserve">rtículo 416 de la </w:t>
      </w:r>
      <w:r>
        <w:rPr>
          <w:rFonts w:cs="Arial"/>
        </w:rPr>
        <w:t>L</w:t>
      </w:r>
      <w:r w:rsidR="0023157B">
        <w:rPr>
          <w:rFonts w:cs="Arial"/>
        </w:rPr>
        <w:t>ey 17.930</w:t>
      </w:r>
      <w:r w:rsidR="0023157B">
        <w:t>;</w:t>
      </w:r>
    </w:p>
    <w:p w:rsidR="00B975E3" w:rsidRDefault="004929C4" w:rsidP="004929C4">
      <w:pPr>
        <w:spacing w:line="360" w:lineRule="auto"/>
        <w:ind w:left="284" w:hanging="284"/>
        <w:jc w:val="both"/>
      </w:pPr>
      <w:r w:rsidRPr="004929C4">
        <w:rPr>
          <w:b/>
        </w:rPr>
        <w:t>2)</w:t>
      </w:r>
      <w:r>
        <w:rPr>
          <w:b/>
        </w:rPr>
        <w:t xml:space="preserve"> </w:t>
      </w:r>
      <w:r w:rsidR="0023157B" w:rsidRPr="0023157B">
        <w:t>La</w:t>
      </w:r>
      <w:r w:rsidR="0023157B">
        <w:t xml:space="preserve"> Contadora Auditora deberá controlar la coincidencia de los antecedentes con lo dispuesto por la Resolución del Poder Ejecutivo;</w:t>
      </w:r>
    </w:p>
    <w:p w:rsidR="00B975E3" w:rsidRDefault="004929C4" w:rsidP="004929C4">
      <w:pPr>
        <w:spacing w:line="360" w:lineRule="auto"/>
        <w:jc w:val="both"/>
      </w:pPr>
      <w:r w:rsidRPr="004929C4">
        <w:rPr>
          <w:b/>
        </w:rPr>
        <w:t>3)</w:t>
      </w:r>
      <w:r>
        <w:t xml:space="preserve"> Comunicar a</w:t>
      </w:r>
      <w:r w:rsidR="0023157B">
        <w:t xml:space="preserve"> </w:t>
      </w:r>
      <w:r>
        <w:t>l</w:t>
      </w:r>
      <w:r w:rsidR="0023157B">
        <w:t>a</w:t>
      </w:r>
      <w:r>
        <w:t xml:space="preserve"> Contador</w:t>
      </w:r>
      <w:r w:rsidR="0023157B">
        <w:t>a</w:t>
      </w:r>
      <w:r>
        <w:t xml:space="preserve"> Auditor</w:t>
      </w:r>
      <w:r w:rsidR="0023157B">
        <w:t>a</w:t>
      </w:r>
      <w:r>
        <w:t>; y</w:t>
      </w:r>
    </w:p>
    <w:p w:rsidR="0023157B" w:rsidRDefault="004929C4" w:rsidP="0023157B">
      <w:pPr>
        <w:spacing w:line="360" w:lineRule="auto"/>
        <w:jc w:val="both"/>
      </w:pPr>
      <w:r w:rsidRPr="004929C4">
        <w:rPr>
          <w:b/>
        </w:rPr>
        <w:t>4)</w:t>
      </w:r>
      <w:r>
        <w:t xml:space="preserve"> </w:t>
      </w:r>
      <w:r w:rsidR="0023157B">
        <w:t>Devolver las actuaciones.</w:t>
      </w:r>
    </w:p>
    <w:p w:rsidR="0023157B" w:rsidRDefault="0023157B" w:rsidP="0023157B">
      <w:pPr>
        <w:spacing w:line="360" w:lineRule="auto"/>
        <w:jc w:val="both"/>
      </w:pPr>
    </w:p>
    <w:p w:rsidR="0023157B" w:rsidRDefault="0023157B" w:rsidP="0023157B">
      <w:pPr>
        <w:spacing w:line="360" w:lineRule="auto"/>
        <w:jc w:val="both"/>
      </w:pPr>
    </w:p>
    <w:p w:rsidR="0023157B" w:rsidRDefault="0023157B" w:rsidP="0023157B">
      <w:pPr>
        <w:spacing w:line="360" w:lineRule="auto"/>
        <w:jc w:val="both"/>
      </w:pPr>
    </w:p>
    <w:p w:rsidR="0023157B" w:rsidRDefault="0023157B" w:rsidP="0023157B">
      <w:pPr>
        <w:spacing w:line="360" w:lineRule="auto"/>
        <w:jc w:val="both"/>
      </w:pPr>
    </w:p>
    <w:p w:rsidR="0023157B" w:rsidRDefault="0023157B" w:rsidP="0023157B">
      <w:pPr>
        <w:spacing w:line="360" w:lineRule="auto"/>
        <w:jc w:val="both"/>
      </w:pPr>
    </w:p>
    <w:p w:rsidR="0023157B" w:rsidRDefault="0023157B" w:rsidP="0023157B">
      <w:pPr>
        <w:spacing w:line="360" w:lineRule="auto"/>
        <w:jc w:val="both"/>
      </w:pPr>
    </w:p>
    <w:p w:rsidR="0023157B" w:rsidRDefault="0023157B" w:rsidP="0023157B">
      <w:pPr>
        <w:spacing w:line="360" w:lineRule="auto"/>
        <w:jc w:val="both"/>
      </w:pPr>
    </w:p>
    <w:p w:rsidR="00B975E3" w:rsidRDefault="0023157B" w:rsidP="0023157B">
      <w:pPr>
        <w:spacing w:line="360" w:lineRule="auto"/>
        <w:jc w:val="both"/>
      </w:pPr>
      <w:proofErr w:type="spellStart"/>
      <w:proofErr w:type="gramStart"/>
      <w:r>
        <w:t>cr</w:t>
      </w:r>
      <w:proofErr w:type="spellEnd"/>
      <w:proofErr w:type="gramEnd"/>
      <w:r>
        <w:t xml:space="preserve"> </w:t>
      </w:r>
    </w:p>
    <w:p w:rsidR="00B975E3" w:rsidRDefault="00B975E3"/>
    <w:sectPr w:rsidR="00B975E3" w:rsidSect="00495B69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69"/>
    <w:rsid w:val="0023157B"/>
    <w:rsid w:val="004929C4"/>
    <w:rsid w:val="00495B69"/>
    <w:rsid w:val="00B975E3"/>
    <w:rsid w:val="00D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TCR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subject/>
  <dc:creator>usuario</dc:creator>
  <cp:keywords/>
  <dc:description/>
  <cp:lastModifiedBy>Miriam Cristina Rivero</cp:lastModifiedBy>
  <cp:revision>2</cp:revision>
  <cp:lastPrinted>2013-12-17T11:22:00Z</cp:lastPrinted>
  <dcterms:created xsi:type="dcterms:W3CDTF">2013-12-17T11:22:00Z</dcterms:created>
  <dcterms:modified xsi:type="dcterms:W3CDTF">2013-12-17T11:22:00Z</dcterms:modified>
</cp:coreProperties>
</file>