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3E" w:rsidRDefault="001A243E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RESOLUCION ADOPTADA POR EL</w:t>
      </w:r>
    </w:p>
    <w:p w:rsidR="001A243E" w:rsidRDefault="001A243E">
      <w:pPr>
        <w:tabs>
          <w:tab w:val="left" w:pos="-720"/>
        </w:tabs>
        <w:suppressAutoHyphens/>
        <w:jc w:val="center"/>
        <w:rPr>
          <w:rFonts w:ascii="Helvetica" w:hAnsi="Helvetica"/>
          <w:b/>
        </w:rPr>
      </w:pPr>
    </w:p>
    <w:p w:rsidR="001A243E" w:rsidRDefault="001A243E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TRIBUNAL DE CUENTAS</w:t>
      </w:r>
    </w:p>
    <w:p w:rsidR="001A243E" w:rsidRDefault="001A243E">
      <w:pPr>
        <w:tabs>
          <w:tab w:val="left" w:pos="-720"/>
        </w:tabs>
        <w:suppressAutoHyphens/>
        <w:jc w:val="center"/>
        <w:rPr>
          <w:rFonts w:ascii="Helvetica" w:hAnsi="Helvetica"/>
          <w:b/>
        </w:rPr>
      </w:pPr>
    </w:p>
    <w:p w:rsidR="001A243E" w:rsidRDefault="001A243E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EN SESION DE FECHA 4 DE DICIEMBRE DE 2013</w:t>
      </w:r>
    </w:p>
    <w:p w:rsidR="001A243E" w:rsidRDefault="001A243E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1A243E" w:rsidRPr="001A243E" w:rsidRDefault="001A243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1A243E">
        <w:rPr>
          <w:rFonts w:ascii="Helvetica" w:hAnsi="Helvetica"/>
          <w:b/>
          <w:lang w:val="es-UY"/>
        </w:rPr>
        <w:t>(E. E. Nº 201</w:t>
      </w:r>
      <w:r w:rsidR="00CD2FF2">
        <w:rPr>
          <w:rFonts w:ascii="Helvetica" w:hAnsi="Helvetica"/>
          <w:b/>
          <w:lang w:val="es-UY"/>
        </w:rPr>
        <w:t xml:space="preserve">3-17-1-0004906, </w:t>
      </w:r>
      <w:proofErr w:type="spellStart"/>
      <w:r w:rsidR="00CD2FF2">
        <w:rPr>
          <w:rFonts w:ascii="Helvetica" w:hAnsi="Helvetica"/>
          <w:b/>
          <w:lang w:val="es-UY"/>
        </w:rPr>
        <w:t>Ent</w:t>
      </w:r>
      <w:proofErr w:type="spellEnd"/>
      <w:r w:rsidR="00CD2FF2">
        <w:rPr>
          <w:rFonts w:ascii="Helvetica" w:hAnsi="Helvetica"/>
          <w:b/>
          <w:lang w:val="es-UY"/>
        </w:rPr>
        <w:t>. N° 6282/13</w:t>
      </w:r>
      <w:r w:rsidRPr="001A243E">
        <w:rPr>
          <w:rFonts w:ascii="Helvetica" w:hAnsi="Helvetica"/>
          <w:b/>
          <w:lang w:val="es-UY"/>
        </w:rPr>
        <w:t>)</w:t>
      </w:r>
    </w:p>
    <w:p w:rsidR="001A243E" w:rsidRPr="001A243E" w:rsidRDefault="001A243E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3A472F" w:rsidRDefault="003A472F" w:rsidP="001A243E">
      <w:pPr>
        <w:spacing w:line="360" w:lineRule="auto"/>
        <w:ind w:firstLine="708"/>
        <w:jc w:val="both"/>
        <w:rPr>
          <w:highlight w:val="yellow"/>
          <w:lang w:val="es-MX"/>
        </w:rPr>
      </w:pPr>
      <w:r>
        <w:rPr>
          <w:b/>
          <w:bCs w:val="0"/>
          <w:lang w:val="es-MX"/>
        </w:rPr>
        <w:t xml:space="preserve">VISTO: </w:t>
      </w:r>
      <w:r>
        <w:rPr>
          <w:lang w:val="es-MX"/>
        </w:rPr>
        <w:t xml:space="preserve">la nota de fecha 31.10.13, remitida por la Administración de las Obras Sanitarias del Estado, relacionada con la reiteración del gasto derivado de la Licitación Pública Nº P 13.282, cuyo objeto es el “Depósito Elevado 600 m3 Recalque, Obras Civiles y Electromecánicas, Depósito Elevado 100 m3, Depósito Apoyado de 30 m3, Tubería de Impulsión aproximado 3.300 m, Ciudad de Dolores-Soriano; </w:t>
      </w:r>
    </w:p>
    <w:p w:rsidR="003A472F" w:rsidRDefault="003A472F" w:rsidP="001A243E">
      <w:pPr>
        <w:spacing w:line="360" w:lineRule="auto"/>
        <w:ind w:firstLine="708"/>
        <w:jc w:val="both"/>
        <w:rPr>
          <w:highlight w:val="yellow"/>
        </w:rPr>
      </w:pPr>
      <w:r>
        <w:rPr>
          <w:b/>
          <w:bCs w:val="0"/>
          <w:lang w:val="es-MX"/>
        </w:rPr>
        <w:t>RESULTANDO:</w:t>
      </w:r>
      <w:r>
        <w:rPr>
          <w:lang w:val="es-MX"/>
        </w:rPr>
        <w:t xml:space="preserve"> </w:t>
      </w:r>
      <w:r>
        <w:rPr>
          <w:b/>
          <w:bCs w:val="0"/>
        </w:rPr>
        <w:t xml:space="preserve">1) </w:t>
      </w:r>
      <w:r>
        <w:t xml:space="preserve">que por Resolución R/D Nº 723/13 de fecha </w:t>
      </w:r>
      <w:r w:rsidRPr="001A243E">
        <w:rPr>
          <w:spacing w:val="6"/>
        </w:rPr>
        <w:t xml:space="preserve">26/06/13, el Directorio adjudicó la licitación referida a CITE SA, por las sumas </w:t>
      </w:r>
      <w:r w:rsidR="00CD2FF2">
        <w:rPr>
          <w:spacing w:val="6"/>
        </w:rPr>
        <w:t xml:space="preserve">de </w:t>
      </w:r>
      <w:r w:rsidRPr="001A243E">
        <w:rPr>
          <w:spacing w:val="6"/>
        </w:rPr>
        <w:t>$</w:t>
      </w:r>
      <w:r w:rsidR="001A243E">
        <w:t xml:space="preserve"> </w:t>
      </w:r>
      <w:r>
        <w:t>60.657.403,57 y U$S 88.195,38;</w:t>
      </w:r>
    </w:p>
    <w:p w:rsidR="003A472F" w:rsidRDefault="001A243E" w:rsidP="001A243E">
      <w:pPr>
        <w:spacing w:line="360" w:lineRule="auto"/>
        <w:ind w:firstLine="2552"/>
        <w:jc w:val="both"/>
        <w:rPr>
          <w:highlight w:val="yellow"/>
        </w:rPr>
      </w:pPr>
      <w:r>
        <w:rPr>
          <w:b/>
          <w:bCs w:val="0"/>
        </w:rPr>
        <w:t xml:space="preserve">  </w:t>
      </w:r>
      <w:r w:rsidR="003A472F">
        <w:rPr>
          <w:b/>
          <w:bCs w:val="0"/>
        </w:rPr>
        <w:t xml:space="preserve">2) </w:t>
      </w:r>
      <w:r>
        <w:t>que este Tribunal, en S</w:t>
      </w:r>
      <w:r w:rsidR="003A472F">
        <w:t>esión de fecha 1</w:t>
      </w:r>
      <w:r w:rsidR="00A010A5">
        <w:t>1 de septiembre de 2013, observó</w:t>
      </w:r>
      <w:r w:rsidR="003A472F">
        <w:t xml:space="preserve"> el gasto correspondiente, en virtud de las siguientes consideraciones: </w:t>
      </w:r>
      <w:r w:rsidR="003A472F" w:rsidRPr="00CD2FF2">
        <w:rPr>
          <w:b/>
        </w:rPr>
        <w:t>1</w:t>
      </w:r>
      <w:r w:rsidR="003A472F">
        <w:t xml:space="preserve">) se </w:t>
      </w:r>
      <w:r w:rsidR="00A010A5">
        <w:t>había contravenido</w:t>
      </w:r>
      <w:r w:rsidR="003A472F">
        <w:t xml:space="preserve"> lo dispuesto por el Artículo 15 del TOCAF (vigente al momento de la contratación), al haber comprometido un gasto sin que exist</w:t>
      </w:r>
      <w:r w:rsidR="00A010A5">
        <w:t>ier</w:t>
      </w:r>
      <w:r w:rsidR="003A472F">
        <w:t>a crédito presupuestal suficiente en el rubro de imputación c</w:t>
      </w:r>
      <w:r w:rsidR="00A010A5">
        <w:t xml:space="preserve">ontable; y </w:t>
      </w:r>
      <w:r w:rsidR="00A010A5" w:rsidRPr="00CD2FF2">
        <w:rPr>
          <w:b/>
        </w:rPr>
        <w:t>2</w:t>
      </w:r>
      <w:r w:rsidR="00CD2FF2">
        <w:t>) del t</w:t>
      </w:r>
      <w:r w:rsidR="00A010A5">
        <w:t>exto del Artí</w:t>
      </w:r>
      <w:r w:rsidR="00CD2FF2">
        <w:t>culo 29 (Evaluación de O</w:t>
      </w:r>
      <w:r w:rsidR="003A472F">
        <w:t>fertas) del Pliego de Condiciones que rigió la licitación, no surg</w:t>
      </w:r>
      <w:r w:rsidR="00A010A5">
        <w:t>ía</w:t>
      </w:r>
      <w:r w:rsidR="003A472F">
        <w:t xml:space="preserve"> con claridad el criterio a aplicar en el análisis de las propuestas presentadas, si se </w:t>
      </w:r>
      <w:r w:rsidR="00A010A5">
        <w:t>iba</w:t>
      </w:r>
      <w:r w:rsidR="003A472F">
        <w:t xml:space="preserve"> a adjudicar en base al factor precio u otro elemento cualitativo siempre que se h</w:t>
      </w:r>
      <w:r w:rsidR="00A010A5">
        <w:t>ubieran</w:t>
      </w:r>
      <w:r w:rsidR="003A472F">
        <w:t xml:space="preserve"> cumplido determinados requisitos mínimos</w:t>
      </w:r>
      <w:r w:rsidR="00CD2FF2">
        <w:t>,</w:t>
      </w:r>
      <w:r w:rsidR="003A472F">
        <w:t xml:space="preserve"> o lo que se plantea</w:t>
      </w:r>
      <w:r w:rsidR="00A010A5">
        <w:t>ba</w:t>
      </w:r>
      <w:r w:rsidR="003A472F">
        <w:t xml:space="preserve"> en esta disposición </w:t>
      </w:r>
      <w:r w:rsidR="00A010A5">
        <w:t>eran</w:t>
      </w:r>
      <w:r w:rsidR="003A472F">
        <w:t xml:space="preserve"> factores de evaluación de ofertas, en cuyo caso se debieron establecer los correspondientes porcentajes de ponderación;</w:t>
      </w:r>
    </w:p>
    <w:p w:rsidR="003A472F" w:rsidRDefault="003A472F" w:rsidP="001A243E">
      <w:pPr>
        <w:spacing w:line="360" w:lineRule="auto"/>
        <w:ind w:firstLine="2694"/>
        <w:jc w:val="both"/>
      </w:pPr>
      <w:r>
        <w:rPr>
          <w:b/>
          <w:bCs w:val="0"/>
        </w:rPr>
        <w:t xml:space="preserve">3) </w:t>
      </w:r>
      <w:r>
        <w:rPr>
          <w:bCs w:val="0"/>
        </w:rPr>
        <w:t>que por Resolución Nº 1392/13, el Directorio de OSE, reitera el gasto</w:t>
      </w:r>
      <w:r>
        <w:t xml:space="preserve"> expresando las siguientes consideraciones: </w:t>
      </w:r>
      <w:r w:rsidRPr="00CD2FF2">
        <w:rPr>
          <w:b/>
        </w:rPr>
        <w:t>I</w:t>
      </w:r>
      <w:r>
        <w:t>) el referido Artículo 29 del Pli</w:t>
      </w:r>
      <w:r w:rsidR="00CD2FF2">
        <w:t>ego de Condiciones Particulares</w:t>
      </w:r>
      <w:r>
        <w:t xml:space="preserve"> no requiere ponderación de </w:t>
      </w:r>
      <w:r>
        <w:lastRenderedPageBreak/>
        <w:t xml:space="preserve">los factores que se tendrán en cuenta para la evaluación de las ofertas; </w:t>
      </w:r>
      <w:r w:rsidR="00A62A27">
        <w:t xml:space="preserve">          </w:t>
      </w:r>
      <w:r w:rsidRPr="00A62A27">
        <w:rPr>
          <w:b/>
        </w:rPr>
        <w:t>II</w:t>
      </w:r>
      <w:r>
        <w:t>) respecto de las capacidades técnica y financiera, los Numerales 16.3 g), 19.2 y 21.2 del citado Pli</w:t>
      </w:r>
      <w:r w:rsidR="00A62A27">
        <w:t>ego de Condiciones Particulares</w:t>
      </w:r>
      <w:r>
        <w:t xml:space="preserve"> refieren a experiencia mínima de la Empresa proponente, de su representante técnico y presentación de documentos mínimos, respectivamente;  </w:t>
      </w:r>
      <w:r w:rsidRPr="00A62A27">
        <w:rPr>
          <w:b/>
        </w:rPr>
        <w:t>III</w:t>
      </w:r>
      <w:r>
        <w:t xml:space="preserve">) en virtud de lo indicado en el Considerando anterior y habiéndose verificado el cumplimiento de las exigencias, según informes técnico, jurídico, contables y de la propia Comisión Asesora de Adjudicaciones, la comparación se realizó por los factores indicados en los Literales “a” y “b” del Artículo 29.1, importe cotizado y precio comparativo, al amparo de lo dispuesto por el Artículo 68 Inciso </w:t>
      </w:r>
      <w:r w:rsidR="00A62A27">
        <w:t>f</w:t>
      </w:r>
      <w:r>
        <w:t>inal del TOCAF (vigente al momento de la contratación);</w:t>
      </w:r>
      <w:r w:rsidR="00A62A27">
        <w:t xml:space="preserve"> y</w:t>
      </w:r>
      <w:r>
        <w:t xml:space="preserve"> </w:t>
      </w:r>
      <w:r w:rsidRPr="00A62A27">
        <w:rPr>
          <w:b/>
        </w:rPr>
        <w:t>IV</w:t>
      </w:r>
      <w:r>
        <w:t>) el mencionado gasto se ubica entre aqu</w:t>
      </w:r>
      <w:r w:rsidR="00A62A27">
        <w:t>é</w:t>
      </w:r>
      <w:r>
        <w:t>llos motivados por fundadas razones de servicio y corresponde reiterarlo;</w:t>
      </w:r>
    </w:p>
    <w:p w:rsidR="002A2B93" w:rsidRDefault="003A472F">
      <w:pPr>
        <w:spacing w:line="360" w:lineRule="auto"/>
        <w:ind w:firstLine="708"/>
        <w:jc w:val="both"/>
        <w:rPr>
          <w:lang w:val="es-MX"/>
        </w:rPr>
      </w:pPr>
      <w:r>
        <w:rPr>
          <w:b/>
          <w:lang w:val="es-MX"/>
        </w:rPr>
        <w:t>CONSIDERANDO</w:t>
      </w:r>
      <w:r w:rsidRPr="001A243E">
        <w:rPr>
          <w:b/>
          <w:lang w:val="es-MX"/>
        </w:rPr>
        <w:t>: 1</w:t>
      </w:r>
      <w:r w:rsidR="00E67032" w:rsidRPr="001A243E">
        <w:rPr>
          <w:b/>
          <w:lang w:val="es-MX"/>
        </w:rPr>
        <w:t>)</w:t>
      </w:r>
      <w:r>
        <w:rPr>
          <w:lang w:val="es-MX"/>
        </w:rPr>
        <w:t xml:space="preserve"> que el argumento esgrimido por el Organismo refiere a que el Pliego hizo uso de lo dispuesto por el </w:t>
      </w:r>
      <w:r w:rsidR="001A243E">
        <w:rPr>
          <w:lang w:val="es-MX"/>
        </w:rPr>
        <w:t>A</w:t>
      </w:r>
      <w:r>
        <w:rPr>
          <w:lang w:val="es-MX"/>
        </w:rPr>
        <w:t>rt</w:t>
      </w:r>
      <w:r w:rsidR="001A243E">
        <w:rPr>
          <w:lang w:val="es-MX"/>
        </w:rPr>
        <w:t>ículo</w:t>
      </w:r>
      <w:r>
        <w:rPr>
          <w:lang w:val="es-MX"/>
        </w:rPr>
        <w:t xml:space="preserve"> 68 del TOCA</w:t>
      </w:r>
      <w:r w:rsidR="00A010A5">
        <w:rPr>
          <w:lang w:val="es-MX"/>
        </w:rPr>
        <w:t>F</w:t>
      </w:r>
      <w:r>
        <w:rPr>
          <w:lang w:val="es-MX"/>
        </w:rPr>
        <w:t xml:space="preserve"> que</w:t>
      </w:r>
      <w:r w:rsidR="00E67032">
        <w:rPr>
          <w:lang w:val="es-MX"/>
        </w:rPr>
        <w:t xml:space="preserve"> habilita a la Administración a adjudicar en base al factor precio en los casos en que se fijen </w:t>
      </w:r>
      <w:r w:rsidR="002A2B93">
        <w:rPr>
          <w:lang w:val="es-MX"/>
        </w:rPr>
        <w:t>requisitos mínimos exigibles;</w:t>
      </w:r>
    </w:p>
    <w:p w:rsidR="003A472F" w:rsidRDefault="002A2B93" w:rsidP="001A243E">
      <w:pPr>
        <w:spacing w:line="360" w:lineRule="auto"/>
        <w:ind w:firstLine="2977"/>
        <w:jc w:val="both"/>
        <w:rPr>
          <w:lang w:val="es-MX"/>
        </w:rPr>
      </w:pPr>
      <w:r w:rsidRPr="001A243E">
        <w:rPr>
          <w:b/>
          <w:lang w:val="es-MX"/>
        </w:rPr>
        <w:t>2)</w:t>
      </w:r>
      <w:r>
        <w:rPr>
          <w:lang w:val="es-MX"/>
        </w:rPr>
        <w:t xml:space="preserve"> que no obstante subsiste la causal de observación fundada en la falta de disponibilidad;</w:t>
      </w:r>
    </w:p>
    <w:p w:rsidR="003A472F" w:rsidRDefault="003A472F" w:rsidP="001A243E">
      <w:pPr>
        <w:spacing w:line="360" w:lineRule="auto"/>
        <w:ind w:firstLine="708"/>
        <w:jc w:val="both"/>
        <w:rPr>
          <w:lang w:val="es-MX"/>
        </w:rPr>
      </w:pPr>
      <w:r>
        <w:rPr>
          <w:b/>
          <w:lang w:val="es-MX"/>
        </w:rPr>
        <w:t>ATENTO:</w:t>
      </w:r>
      <w:r>
        <w:rPr>
          <w:lang w:val="es-MX"/>
        </w:rPr>
        <w:t xml:space="preserve"> a lo expresado y a lo dispuesto por el </w:t>
      </w:r>
      <w:r w:rsidR="00964A08">
        <w:rPr>
          <w:lang w:val="es-MX"/>
        </w:rPr>
        <w:t>A</w:t>
      </w:r>
      <w:r>
        <w:rPr>
          <w:lang w:val="es-MX"/>
        </w:rPr>
        <w:t>rt</w:t>
      </w:r>
      <w:r w:rsidR="00964A08">
        <w:rPr>
          <w:lang w:val="es-MX"/>
        </w:rPr>
        <w:t xml:space="preserve">ículo </w:t>
      </w:r>
      <w:r>
        <w:rPr>
          <w:lang w:val="es-MX"/>
        </w:rPr>
        <w:t xml:space="preserve"> 211 </w:t>
      </w:r>
      <w:r w:rsidR="00964A08">
        <w:rPr>
          <w:lang w:val="es-MX"/>
        </w:rPr>
        <w:t>L</w:t>
      </w:r>
      <w:r>
        <w:rPr>
          <w:lang w:val="es-MX"/>
        </w:rPr>
        <w:t>it</w:t>
      </w:r>
      <w:r w:rsidR="00964A08">
        <w:rPr>
          <w:lang w:val="es-MX"/>
        </w:rPr>
        <w:t>eral</w:t>
      </w:r>
      <w:r>
        <w:rPr>
          <w:lang w:val="es-MX"/>
        </w:rPr>
        <w:t xml:space="preserve"> B) de la Constitución de la República;                                              </w:t>
      </w:r>
    </w:p>
    <w:p w:rsidR="00964A08" w:rsidRDefault="003A472F" w:rsidP="00964A08">
      <w:pPr>
        <w:spacing w:line="360" w:lineRule="auto"/>
        <w:jc w:val="both"/>
        <w:rPr>
          <w:b/>
          <w:lang w:val="es-MX"/>
        </w:rPr>
      </w:pPr>
      <w:r>
        <w:rPr>
          <w:lang w:val="es-MX"/>
        </w:rPr>
        <w:t xml:space="preserve">                                                </w:t>
      </w:r>
      <w:r>
        <w:rPr>
          <w:b/>
          <w:lang w:val="es-MX"/>
        </w:rPr>
        <w:t>EL TRIBUNAL ACUERDA</w:t>
      </w:r>
    </w:p>
    <w:p w:rsidR="00964A08" w:rsidRDefault="00964A08" w:rsidP="00964A08">
      <w:pPr>
        <w:spacing w:line="360" w:lineRule="auto"/>
        <w:jc w:val="both"/>
        <w:rPr>
          <w:b/>
          <w:lang w:val="es-MX"/>
        </w:rPr>
      </w:pPr>
      <w:r>
        <w:rPr>
          <w:b/>
          <w:lang w:val="es-MX"/>
        </w:rPr>
        <w:t xml:space="preserve">1) </w:t>
      </w:r>
      <w:r w:rsidR="002A2B93" w:rsidRPr="00964A08">
        <w:rPr>
          <w:lang w:val="es-MX"/>
        </w:rPr>
        <w:t>Levantar la causal de observación referida a la evaluación de las ofertas</w:t>
      </w:r>
      <w:r w:rsidR="00A010A5" w:rsidRPr="00964A08">
        <w:rPr>
          <w:lang w:val="es-MX"/>
        </w:rPr>
        <w:t>.</w:t>
      </w:r>
    </w:p>
    <w:p w:rsidR="003A472F" w:rsidRPr="00964A08" w:rsidRDefault="00964A08" w:rsidP="00964A08">
      <w:pPr>
        <w:spacing w:line="360" w:lineRule="auto"/>
        <w:ind w:left="284" w:hanging="284"/>
        <w:jc w:val="both"/>
        <w:rPr>
          <w:bCs w:val="0"/>
        </w:rPr>
      </w:pPr>
      <w:r>
        <w:rPr>
          <w:b/>
          <w:lang w:val="es-MX"/>
        </w:rPr>
        <w:t xml:space="preserve">2) </w:t>
      </w:r>
      <w:r w:rsidR="003A472F" w:rsidRPr="00964A08">
        <w:rPr>
          <w:bCs w:val="0"/>
        </w:rPr>
        <w:t>Mantener la observación formulada con fecha 11 de septiembre de 2013</w:t>
      </w:r>
      <w:r w:rsidR="002A2B93" w:rsidRPr="00964A08">
        <w:rPr>
          <w:bCs w:val="0"/>
        </w:rPr>
        <w:t xml:space="preserve"> en razón de lo expresado en el Considerando 2)</w:t>
      </w:r>
      <w:r w:rsidR="003A472F" w:rsidRPr="00964A08">
        <w:rPr>
          <w:bCs w:val="0"/>
        </w:rPr>
        <w:t>;</w:t>
      </w:r>
    </w:p>
    <w:p w:rsidR="003A472F" w:rsidRDefault="00964A08" w:rsidP="00964A08">
      <w:pPr>
        <w:pStyle w:val="Ttulo7"/>
        <w:ind w:left="284" w:right="0" w:hanging="284"/>
        <w:rPr>
          <w:rFonts w:cs="Arial"/>
        </w:rPr>
      </w:pPr>
      <w:r w:rsidRPr="00964A08">
        <w:rPr>
          <w:rFonts w:cs="Arial"/>
          <w:b/>
        </w:rPr>
        <w:t>3)</w:t>
      </w:r>
      <w:r>
        <w:rPr>
          <w:rFonts w:cs="Arial"/>
        </w:rPr>
        <w:t xml:space="preserve"> </w:t>
      </w:r>
      <w:r w:rsidR="003A472F">
        <w:rPr>
          <w:rFonts w:cs="Arial"/>
        </w:rPr>
        <w:t xml:space="preserve">Comunicar  </w:t>
      </w:r>
      <w:r>
        <w:rPr>
          <w:rFonts w:cs="Arial"/>
        </w:rPr>
        <w:t xml:space="preserve"> </w:t>
      </w:r>
      <w:r w:rsidR="003A472F">
        <w:rPr>
          <w:rFonts w:cs="Arial"/>
        </w:rPr>
        <w:t>a</w:t>
      </w:r>
      <w:r w:rsidR="002A2B93">
        <w:rPr>
          <w:rFonts w:cs="Arial"/>
        </w:rPr>
        <w:t xml:space="preserve">l </w:t>
      </w:r>
      <w:r>
        <w:rPr>
          <w:rFonts w:cs="Arial"/>
        </w:rPr>
        <w:t xml:space="preserve"> </w:t>
      </w:r>
      <w:r w:rsidR="002A2B93">
        <w:rPr>
          <w:rFonts w:cs="Arial"/>
        </w:rPr>
        <w:t>Poder</w:t>
      </w:r>
      <w:r>
        <w:rPr>
          <w:rFonts w:cs="Arial"/>
        </w:rPr>
        <w:t xml:space="preserve"> </w:t>
      </w:r>
      <w:r w:rsidR="002A2B93">
        <w:rPr>
          <w:rFonts w:cs="Arial"/>
        </w:rPr>
        <w:t xml:space="preserve"> Ejecutivo, </w:t>
      </w:r>
      <w:r>
        <w:rPr>
          <w:rFonts w:cs="Arial"/>
        </w:rPr>
        <w:t xml:space="preserve"> </w:t>
      </w:r>
      <w:r w:rsidR="002A2B93">
        <w:rPr>
          <w:rFonts w:cs="Arial"/>
        </w:rPr>
        <w:t>a</w:t>
      </w:r>
      <w:r w:rsidR="003A472F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3A472F">
        <w:rPr>
          <w:rFonts w:cs="Arial"/>
        </w:rPr>
        <w:t>la Administración actuante y</w:t>
      </w:r>
      <w:r>
        <w:rPr>
          <w:rFonts w:cs="Arial"/>
        </w:rPr>
        <w:t xml:space="preserve">  a</w:t>
      </w:r>
      <w:r w:rsidR="00A62A27">
        <w:rPr>
          <w:rFonts w:cs="Arial"/>
        </w:rPr>
        <w:t xml:space="preserve"> </w:t>
      </w:r>
      <w:r>
        <w:rPr>
          <w:rFonts w:cs="Arial"/>
        </w:rPr>
        <w:t>l</w:t>
      </w:r>
      <w:r w:rsidR="00A62A27">
        <w:rPr>
          <w:rFonts w:cs="Arial"/>
        </w:rPr>
        <w:t>a</w:t>
      </w:r>
      <w:r>
        <w:rPr>
          <w:rFonts w:cs="Arial"/>
        </w:rPr>
        <w:t xml:space="preserve"> Contador</w:t>
      </w:r>
      <w:r w:rsidR="00A62A27">
        <w:rPr>
          <w:rFonts w:cs="Arial"/>
        </w:rPr>
        <w:t>a</w:t>
      </w:r>
      <w:r>
        <w:rPr>
          <w:rFonts w:cs="Arial"/>
        </w:rPr>
        <w:t xml:space="preserve"> Delegad</w:t>
      </w:r>
      <w:r w:rsidR="00A62A27">
        <w:rPr>
          <w:rFonts w:cs="Arial"/>
        </w:rPr>
        <w:t>a</w:t>
      </w:r>
      <w:bookmarkStart w:id="0" w:name="_GoBack"/>
      <w:bookmarkEnd w:id="0"/>
      <w:r>
        <w:rPr>
          <w:rFonts w:cs="Arial"/>
        </w:rPr>
        <w:t>;</w:t>
      </w:r>
    </w:p>
    <w:p w:rsidR="00964A08" w:rsidRDefault="00964A08" w:rsidP="00964A08">
      <w:pPr>
        <w:rPr>
          <w:bCs w:val="0"/>
          <w:snapToGrid w:val="0"/>
          <w:spacing w:val="-3"/>
          <w:szCs w:val="20"/>
        </w:rPr>
      </w:pPr>
      <w:r>
        <w:rPr>
          <w:b/>
          <w:bCs w:val="0"/>
          <w:snapToGrid w:val="0"/>
          <w:spacing w:val="-3"/>
          <w:szCs w:val="20"/>
        </w:rPr>
        <w:t xml:space="preserve">4) </w:t>
      </w:r>
      <w:r>
        <w:rPr>
          <w:bCs w:val="0"/>
          <w:snapToGrid w:val="0"/>
          <w:spacing w:val="-3"/>
          <w:szCs w:val="20"/>
        </w:rPr>
        <w:t>Dar cuenta a la Asamblea Gene</w:t>
      </w:r>
      <w:r w:rsidR="00432636">
        <w:rPr>
          <w:bCs w:val="0"/>
          <w:snapToGrid w:val="0"/>
          <w:spacing w:val="-3"/>
          <w:szCs w:val="20"/>
        </w:rPr>
        <w:t>r</w:t>
      </w:r>
      <w:r>
        <w:rPr>
          <w:bCs w:val="0"/>
          <w:snapToGrid w:val="0"/>
          <w:spacing w:val="-3"/>
          <w:szCs w:val="20"/>
        </w:rPr>
        <w:t>al.</w:t>
      </w:r>
    </w:p>
    <w:p w:rsidR="00432636" w:rsidRDefault="00432636" w:rsidP="00964A08">
      <w:pPr>
        <w:rPr>
          <w:bCs w:val="0"/>
          <w:snapToGrid w:val="0"/>
          <w:spacing w:val="-3"/>
          <w:szCs w:val="20"/>
        </w:rPr>
      </w:pPr>
    </w:p>
    <w:p w:rsidR="00432636" w:rsidRPr="00964A08" w:rsidRDefault="00432636" w:rsidP="00964A08">
      <w:proofErr w:type="spellStart"/>
      <w:proofErr w:type="gramStart"/>
      <w:r>
        <w:rPr>
          <w:bCs w:val="0"/>
          <w:snapToGrid w:val="0"/>
          <w:spacing w:val="-3"/>
          <w:szCs w:val="20"/>
        </w:rPr>
        <w:t>cr</w:t>
      </w:r>
      <w:proofErr w:type="spellEnd"/>
      <w:proofErr w:type="gramEnd"/>
    </w:p>
    <w:sectPr w:rsidR="00432636" w:rsidRPr="00964A08" w:rsidSect="00432636">
      <w:pgSz w:w="11907" w:h="16840" w:code="9"/>
      <w:pgMar w:top="3402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7D6C"/>
    <w:multiLevelType w:val="hybridMultilevel"/>
    <w:tmpl w:val="7848FF96"/>
    <w:lvl w:ilvl="0" w:tplc="FE84C60C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72F"/>
    <w:rsid w:val="001A243E"/>
    <w:rsid w:val="002A2B93"/>
    <w:rsid w:val="003A472F"/>
    <w:rsid w:val="00432636"/>
    <w:rsid w:val="00742515"/>
    <w:rsid w:val="00964A08"/>
    <w:rsid w:val="00A010A5"/>
    <w:rsid w:val="00A62A27"/>
    <w:rsid w:val="00CD2FF2"/>
    <w:rsid w:val="00E6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bCs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left="360"/>
      <w:outlineLvl w:val="0"/>
    </w:pPr>
    <w:rPr>
      <w:bCs w:val="0"/>
      <w:i/>
      <w:iCs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cs="Times New Roman"/>
      <w:b/>
      <w:szCs w:val="20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Cs w:val="0"/>
      <w:i/>
      <w:iCs/>
      <w:lang w:val="es-ES"/>
    </w:rPr>
  </w:style>
  <w:style w:type="paragraph" w:styleId="Ttulo7">
    <w:name w:val="heading 7"/>
    <w:basedOn w:val="Normal"/>
    <w:next w:val="Normal"/>
    <w:qFormat/>
    <w:pPr>
      <w:keepNext/>
      <w:widowControl w:val="0"/>
      <w:suppressAutoHyphens/>
      <w:spacing w:line="360" w:lineRule="auto"/>
      <w:ind w:right="284"/>
      <w:jc w:val="both"/>
      <w:outlineLvl w:val="6"/>
    </w:pPr>
    <w:rPr>
      <w:rFonts w:cs="Times New Roman"/>
      <w:bCs w:val="0"/>
      <w:snapToGrid w:val="0"/>
      <w:spacing w:val="-3"/>
      <w:szCs w:val="20"/>
    </w:rPr>
  </w:style>
  <w:style w:type="paragraph" w:styleId="Ttulo9">
    <w:name w:val="heading 9"/>
    <w:basedOn w:val="Normal"/>
    <w:next w:val="Normal"/>
    <w:qFormat/>
    <w:pPr>
      <w:keepNext/>
      <w:widowControl w:val="0"/>
      <w:suppressAutoHyphens/>
      <w:spacing w:line="360" w:lineRule="auto"/>
      <w:ind w:left="1440" w:right="284" w:firstLine="720"/>
      <w:jc w:val="both"/>
      <w:outlineLvl w:val="8"/>
    </w:pPr>
    <w:rPr>
      <w:rFonts w:cs="Times New Roman"/>
      <w:b/>
      <w:snapToGrid w:val="0"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Arial Black" w:hAnsi="Arial Black" w:cs="Times New Roman"/>
      <w:bCs w:val="0"/>
      <w:szCs w:val="20"/>
      <w:effect w:val="antsRed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 N°: 2012-17-1-0004906</vt:lpstr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 N°: 2012-17-1-0004906</dc:title>
  <dc:subject/>
  <dc:creator>Contrataciones2</dc:creator>
  <cp:keywords/>
  <dc:description/>
  <cp:lastModifiedBy>tribunal1</cp:lastModifiedBy>
  <cp:revision>6</cp:revision>
  <cp:lastPrinted>2013-12-10T14:05:00Z</cp:lastPrinted>
  <dcterms:created xsi:type="dcterms:W3CDTF">2013-12-10T14:05:00Z</dcterms:created>
  <dcterms:modified xsi:type="dcterms:W3CDTF">2013-12-10T15:02:00Z</dcterms:modified>
</cp:coreProperties>
</file>