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6B5" w:rsidRDefault="00EB06B5">
      <w:pPr>
        <w:tabs>
          <w:tab w:val="center" w:pos="4253"/>
        </w:tabs>
        <w:suppressAutoHyphens/>
        <w:jc w:val="center"/>
        <w:rPr>
          <w:rFonts w:ascii="Helvetica" w:hAnsi="Helvetica"/>
          <w:b/>
          <w:lang w:val="es-ES_tradnl"/>
        </w:rPr>
      </w:pPr>
      <w:bookmarkStart w:id="0" w:name="_GoBack"/>
      <w:bookmarkEnd w:id="0"/>
      <w:r>
        <w:rPr>
          <w:rFonts w:ascii="Helvetica" w:hAnsi="Helvetica"/>
          <w:b/>
          <w:lang w:val="es-ES_tradnl"/>
        </w:rPr>
        <w:t>RESOLUCION ADOPTADA POR EL</w:t>
      </w:r>
    </w:p>
    <w:p w:rsidR="00EB06B5" w:rsidRDefault="00EB06B5">
      <w:pPr>
        <w:tabs>
          <w:tab w:val="left" w:pos="-720"/>
        </w:tabs>
        <w:suppressAutoHyphens/>
        <w:jc w:val="center"/>
        <w:rPr>
          <w:rFonts w:ascii="Helvetica" w:hAnsi="Helvetica"/>
          <w:b/>
          <w:lang w:val="es-ES_tradnl"/>
        </w:rPr>
      </w:pPr>
    </w:p>
    <w:p w:rsidR="00EB06B5" w:rsidRDefault="00EB06B5">
      <w:pPr>
        <w:tabs>
          <w:tab w:val="center" w:pos="4253"/>
        </w:tabs>
        <w:suppressAutoHyphens/>
        <w:jc w:val="center"/>
        <w:rPr>
          <w:rFonts w:ascii="Helvetica" w:hAnsi="Helvetica"/>
          <w:b/>
          <w:lang w:val="es-ES_tradnl"/>
        </w:rPr>
      </w:pPr>
      <w:r>
        <w:rPr>
          <w:rFonts w:ascii="Helvetica" w:hAnsi="Helvetica"/>
          <w:b/>
          <w:lang w:val="es-ES_tradnl"/>
        </w:rPr>
        <w:t>TRIBUNAL DE CUENTAS</w:t>
      </w:r>
    </w:p>
    <w:p w:rsidR="00EB06B5" w:rsidRDefault="00EB06B5">
      <w:pPr>
        <w:tabs>
          <w:tab w:val="left" w:pos="-720"/>
        </w:tabs>
        <w:suppressAutoHyphens/>
        <w:jc w:val="center"/>
        <w:rPr>
          <w:rFonts w:ascii="Helvetica" w:hAnsi="Helvetica"/>
          <w:b/>
          <w:lang w:val="es-ES_tradnl"/>
        </w:rPr>
      </w:pPr>
    </w:p>
    <w:p w:rsidR="00EB06B5" w:rsidRDefault="00EB06B5">
      <w:pPr>
        <w:tabs>
          <w:tab w:val="center" w:pos="4253"/>
        </w:tabs>
        <w:suppressAutoHyphens/>
        <w:jc w:val="center"/>
        <w:rPr>
          <w:rFonts w:ascii="Helvetica" w:hAnsi="Helvetica"/>
          <w:b/>
          <w:lang w:val="es-ES_tradnl"/>
        </w:rPr>
      </w:pPr>
      <w:r>
        <w:rPr>
          <w:rFonts w:ascii="Helvetica" w:hAnsi="Helvetica"/>
          <w:b/>
          <w:lang w:val="es-ES_tradnl"/>
        </w:rPr>
        <w:t>EN SESION DE FECHA 27 DE NOVIEMBRE DE 2013</w:t>
      </w:r>
    </w:p>
    <w:p w:rsidR="00EB06B5" w:rsidRDefault="00EB06B5">
      <w:pPr>
        <w:tabs>
          <w:tab w:val="center" w:pos="4253"/>
        </w:tabs>
        <w:suppressAutoHyphens/>
        <w:jc w:val="center"/>
        <w:rPr>
          <w:rFonts w:ascii="Helvetica" w:hAnsi="Helvetica"/>
          <w:b/>
          <w:lang w:val="es-ES_tradnl"/>
        </w:rPr>
      </w:pPr>
    </w:p>
    <w:p w:rsidR="00EB06B5" w:rsidRDefault="00EB06B5">
      <w:pPr>
        <w:tabs>
          <w:tab w:val="center" w:pos="4253"/>
        </w:tabs>
        <w:suppressAutoHyphens/>
        <w:jc w:val="center"/>
        <w:rPr>
          <w:rFonts w:ascii="Helvetica" w:hAnsi="Helvetica"/>
          <w:b/>
          <w:lang w:val="es-UY"/>
        </w:rPr>
      </w:pPr>
      <w:r w:rsidRPr="00EB06B5">
        <w:rPr>
          <w:rFonts w:ascii="Helvetica" w:hAnsi="Helvetica"/>
          <w:b/>
          <w:lang w:val="es-UY"/>
        </w:rPr>
        <w:t xml:space="preserve">(E. E. Nº 2013-17-1-0005694, </w:t>
      </w:r>
      <w:proofErr w:type="spellStart"/>
      <w:r w:rsidRPr="00EB06B5">
        <w:rPr>
          <w:rFonts w:ascii="Helvetica" w:hAnsi="Helvetica"/>
          <w:b/>
          <w:lang w:val="es-UY"/>
        </w:rPr>
        <w:t>Ent</w:t>
      </w:r>
      <w:proofErr w:type="spellEnd"/>
      <w:r w:rsidRPr="00EB06B5">
        <w:rPr>
          <w:rFonts w:ascii="Helvetica" w:hAnsi="Helvetica"/>
          <w:b/>
          <w:lang w:val="es-UY"/>
        </w:rPr>
        <w:t>. N° 6332/13)</w:t>
      </w:r>
    </w:p>
    <w:p w:rsidR="005659DF" w:rsidRPr="00EB06B5" w:rsidRDefault="005659DF">
      <w:pPr>
        <w:tabs>
          <w:tab w:val="center" w:pos="4253"/>
        </w:tabs>
        <w:suppressAutoHyphens/>
        <w:jc w:val="center"/>
        <w:rPr>
          <w:rFonts w:ascii="Helvetica" w:hAnsi="Helvetica"/>
          <w:b/>
          <w:lang w:val="es-UY"/>
        </w:rPr>
      </w:pPr>
    </w:p>
    <w:p w:rsidR="00EB06B5" w:rsidRPr="00EB06B5" w:rsidRDefault="00EB06B5">
      <w:pPr>
        <w:tabs>
          <w:tab w:val="center" w:pos="4253"/>
        </w:tabs>
        <w:suppressAutoHyphens/>
        <w:jc w:val="center"/>
        <w:rPr>
          <w:rFonts w:ascii="Arial" w:hAnsi="Arial"/>
          <w:spacing w:val="-3"/>
          <w:lang w:val="es-UY"/>
        </w:rPr>
      </w:pPr>
    </w:p>
    <w:p w:rsidR="00FA2A1A" w:rsidRDefault="00FA2A1A" w:rsidP="001C0E59">
      <w:pPr>
        <w:spacing w:line="360" w:lineRule="auto"/>
        <w:ind w:firstLine="851"/>
        <w:jc w:val="both"/>
        <w:rPr>
          <w:rFonts w:ascii="Arial" w:hAnsi="Arial" w:cs="Arial"/>
        </w:rPr>
      </w:pPr>
      <w:r w:rsidRPr="002C575B">
        <w:rPr>
          <w:rFonts w:ascii="Arial" w:hAnsi="Arial" w:cs="Arial"/>
          <w:b/>
        </w:rPr>
        <w:t>VISTO:</w:t>
      </w:r>
      <w:r>
        <w:rPr>
          <w:rFonts w:ascii="Arial" w:hAnsi="Arial" w:cs="Arial"/>
        </w:rPr>
        <w:t xml:space="preserve"> </w:t>
      </w:r>
      <w:r w:rsidR="007A3CA6">
        <w:rPr>
          <w:rFonts w:ascii="Arial" w:hAnsi="Arial" w:cs="Arial"/>
        </w:rPr>
        <w:t xml:space="preserve">las nuevas </w:t>
      </w:r>
      <w:r>
        <w:rPr>
          <w:rFonts w:ascii="Arial" w:hAnsi="Arial" w:cs="Arial"/>
        </w:rPr>
        <w:t xml:space="preserve">actuaciones remitidas por el Instituto del Niño y Adolescente  del Uruguay (INAU)  relacionadas con </w:t>
      </w:r>
      <w:smartTag w:uri="urn:schemas-microsoft-com:office:smarttags" w:element="PersonName">
        <w:smartTagPr>
          <w:attr w:name="ProductID" w:val="la Contrataci￳n Directa"/>
        </w:smartTagPr>
        <w:smartTag w:uri="urn:schemas-microsoft-com:office:smarttags" w:element="PersonName">
          <w:smartTagPr>
            <w:attr w:name="ProductID" w:val="la Contrataci￳n"/>
          </w:smartTagPr>
          <w:r>
            <w:rPr>
              <w:rFonts w:ascii="Arial" w:hAnsi="Arial" w:cs="Arial"/>
            </w:rPr>
            <w:t>la Contratación</w:t>
          </w:r>
        </w:smartTag>
        <w:r>
          <w:rPr>
            <w:rFonts w:ascii="Arial" w:hAnsi="Arial" w:cs="Arial"/>
          </w:rPr>
          <w:t xml:space="preserve"> Directa</w:t>
        </w:r>
      </w:smartTag>
      <w:r>
        <w:rPr>
          <w:rFonts w:ascii="Arial" w:hAnsi="Arial" w:cs="Arial"/>
        </w:rPr>
        <w:t xml:space="preserve"> por Excepción con la empresa CALPUSA URUGUAY S.A. para </w:t>
      </w:r>
      <w:smartTag w:uri="urn:schemas-microsoft-com:office:smarttags" w:element="PersonName">
        <w:smartTagPr>
          <w:attr w:name="ProductID" w:val="la Reconstrucci￳n"/>
        </w:smartTagPr>
        <w:r>
          <w:rPr>
            <w:rFonts w:ascii="Arial" w:hAnsi="Arial" w:cs="Arial"/>
          </w:rPr>
          <w:t>la Reconstrucción</w:t>
        </w:r>
      </w:smartTag>
      <w:r>
        <w:rPr>
          <w:rFonts w:ascii="Arial" w:hAnsi="Arial" w:cs="Arial"/>
        </w:rPr>
        <w:t xml:space="preserve"> del Edificio existente en el Predio del ex - Batallón de Caballería Nº 9</w:t>
      </w:r>
      <w:r w:rsidR="00EB06B5">
        <w:rPr>
          <w:rFonts w:ascii="Arial" w:hAnsi="Arial" w:cs="Arial"/>
        </w:rPr>
        <w:t>;</w:t>
      </w:r>
      <w:r w:rsidR="00F44FEF">
        <w:rPr>
          <w:rFonts w:ascii="Arial" w:hAnsi="Arial" w:cs="Arial"/>
        </w:rPr>
        <w:t xml:space="preserve"> </w:t>
      </w:r>
      <w:r>
        <w:rPr>
          <w:rFonts w:ascii="Arial" w:hAnsi="Arial" w:cs="Arial"/>
        </w:rPr>
        <w:t xml:space="preserve"> </w:t>
      </w:r>
    </w:p>
    <w:p w:rsidR="00F44FEF" w:rsidRDefault="002C575B" w:rsidP="001C0E59">
      <w:pPr>
        <w:spacing w:line="360" w:lineRule="auto"/>
        <w:ind w:firstLine="851"/>
        <w:jc w:val="both"/>
        <w:rPr>
          <w:rFonts w:ascii="Arial" w:hAnsi="Arial" w:cs="Arial"/>
        </w:rPr>
      </w:pPr>
      <w:r>
        <w:rPr>
          <w:rFonts w:ascii="Arial" w:hAnsi="Arial" w:cs="Arial"/>
          <w:b/>
        </w:rPr>
        <w:t>RESULTANDO:</w:t>
      </w:r>
      <w:r w:rsidR="00EB06B5">
        <w:rPr>
          <w:rFonts w:ascii="Arial" w:hAnsi="Arial" w:cs="Arial"/>
          <w:b/>
        </w:rPr>
        <w:t xml:space="preserve"> </w:t>
      </w:r>
      <w:r w:rsidR="00F44FEF">
        <w:rPr>
          <w:rFonts w:ascii="Arial" w:hAnsi="Arial" w:cs="Arial"/>
          <w:b/>
        </w:rPr>
        <w:t xml:space="preserve">1) </w:t>
      </w:r>
      <w:r w:rsidR="00F44FEF">
        <w:rPr>
          <w:rFonts w:ascii="Arial" w:hAnsi="Arial" w:cs="Arial"/>
        </w:rPr>
        <w:t>que por Resolución Nº 2964/013 de 6 de setiembre de 2013 el Directorio del INAU dispuso la mencionada contratación, por la suma de $ 105:072.725,oo, Leyes Sociales e IVA incluidas, al amparo de la causal de excepción dispuesta en el Literal C) Numeral 9</w:t>
      </w:r>
      <w:r w:rsidR="00EB06B5">
        <w:rPr>
          <w:rFonts w:ascii="Arial" w:hAnsi="Arial" w:cs="Arial"/>
        </w:rPr>
        <w:t>)</w:t>
      </w:r>
      <w:r w:rsidR="00F44FEF">
        <w:rPr>
          <w:rFonts w:ascii="Arial" w:hAnsi="Arial" w:cs="Arial"/>
        </w:rPr>
        <w:t xml:space="preserve"> del Artículo 33 del TOCAF;</w:t>
      </w:r>
    </w:p>
    <w:p w:rsidR="007A3CA6" w:rsidRDefault="00EB06B5" w:rsidP="001C0E59">
      <w:pPr>
        <w:suppressAutoHyphens/>
        <w:spacing w:line="360" w:lineRule="auto"/>
        <w:ind w:firstLine="2694"/>
        <w:jc w:val="both"/>
        <w:rPr>
          <w:rFonts w:ascii="Arial" w:hAnsi="Arial" w:cs="Arial"/>
        </w:rPr>
      </w:pPr>
      <w:r>
        <w:rPr>
          <w:rFonts w:ascii="Arial" w:hAnsi="Arial" w:cs="Arial"/>
          <w:b/>
        </w:rPr>
        <w:t>2</w:t>
      </w:r>
      <w:r w:rsidR="00FA2A1A" w:rsidRPr="007A3CA6">
        <w:rPr>
          <w:rFonts w:ascii="Arial" w:hAnsi="Arial" w:cs="Arial"/>
          <w:b/>
        </w:rPr>
        <w:t>)</w:t>
      </w:r>
      <w:r w:rsidR="00FA2A1A">
        <w:rPr>
          <w:rFonts w:ascii="Arial" w:hAnsi="Arial" w:cs="Arial"/>
        </w:rPr>
        <w:t xml:space="preserve"> que </w:t>
      </w:r>
      <w:r w:rsidR="007A3CA6">
        <w:rPr>
          <w:rFonts w:ascii="Arial" w:hAnsi="Arial" w:cs="Arial"/>
        </w:rPr>
        <w:t>este Tribunal en Sesión de fecha 9 de octubre de 2013, acordó observar el gasto en virtud de</w:t>
      </w:r>
      <w:r w:rsidR="00F44FEF">
        <w:rPr>
          <w:rFonts w:ascii="Arial" w:hAnsi="Arial" w:cs="Arial"/>
        </w:rPr>
        <w:t xml:space="preserve"> que no se había fundamentado</w:t>
      </w:r>
      <w:r w:rsidR="007A3CA6">
        <w:rPr>
          <w:rFonts w:ascii="Arial" w:hAnsi="Arial" w:cs="Arial"/>
        </w:rPr>
        <w:t xml:space="preserve"> la causal de excepción invocada, y </w:t>
      </w:r>
      <w:r w:rsidR="00F44FEF">
        <w:rPr>
          <w:rFonts w:ascii="Arial" w:hAnsi="Arial" w:cs="Arial"/>
        </w:rPr>
        <w:t>señaló que el expediente no se encontraba debidamente foliado</w:t>
      </w:r>
      <w:r w:rsidR="007A3CA6">
        <w:rPr>
          <w:rFonts w:ascii="Arial" w:hAnsi="Arial" w:cs="Arial"/>
        </w:rPr>
        <w:t>, como lo dispone el Artículo 49 del Decreto 500/991;</w:t>
      </w:r>
    </w:p>
    <w:p w:rsidR="007A3CA6" w:rsidRDefault="00EB06B5" w:rsidP="005659DF">
      <w:pPr>
        <w:spacing w:line="360" w:lineRule="auto"/>
        <w:ind w:firstLine="2694"/>
        <w:jc w:val="both"/>
        <w:rPr>
          <w:rFonts w:ascii="Arial" w:hAnsi="Arial" w:cs="Arial"/>
        </w:rPr>
      </w:pPr>
      <w:r>
        <w:rPr>
          <w:rFonts w:ascii="Arial" w:hAnsi="Arial" w:cs="Arial"/>
          <w:b/>
        </w:rPr>
        <w:t>3</w:t>
      </w:r>
      <w:r w:rsidR="00701BD6" w:rsidRPr="00701BD6">
        <w:rPr>
          <w:rFonts w:ascii="Arial" w:hAnsi="Arial" w:cs="Arial"/>
          <w:b/>
        </w:rPr>
        <w:t>)</w:t>
      </w:r>
      <w:r w:rsidR="00701BD6">
        <w:rPr>
          <w:rFonts w:ascii="Arial" w:hAnsi="Arial" w:cs="Arial"/>
        </w:rPr>
        <w:t xml:space="preserve"> que en la oportunidad se remite copia de la  Resolución de fecha 29 de octubre de 2013, adoptada por el Directorio del INAU reiterando el gasto dispuesto por Resolución Nº 2964/013 de fecha 6 de setiembre de 2013, emergente de la citada contratación directa, expresando que la reiteración se efectúa por razones de tiempo y emergencia social, no habiendo considerado necesario fundamentar la contratación, dado el conocimiento de la mala situación de los jóvenes dentro de los servicios de privación de libertad, no siendo justificable por razones de tiempo, solicitar el levantamiento de la observación formulada.</w:t>
      </w:r>
      <w:r w:rsidR="00F44FEF">
        <w:rPr>
          <w:rFonts w:ascii="Arial" w:hAnsi="Arial" w:cs="Arial"/>
        </w:rPr>
        <w:t xml:space="preserve"> </w:t>
      </w:r>
      <w:r w:rsidR="00701BD6">
        <w:rPr>
          <w:rFonts w:ascii="Arial" w:hAnsi="Arial" w:cs="Arial"/>
        </w:rPr>
        <w:t xml:space="preserve">En cuanto a la foliatura, </w:t>
      </w:r>
      <w:r w:rsidR="00147900">
        <w:rPr>
          <w:rFonts w:ascii="Arial" w:hAnsi="Arial" w:cs="Arial"/>
        </w:rPr>
        <w:t xml:space="preserve">se expresa que </w:t>
      </w:r>
      <w:r w:rsidR="00701BD6">
        <w:rPr>
          <w:rFonts w:ascii="Arial" w:hAnsi="Arial" w:cs="Arial"/>
        </w:rPr>
        <w:t xml:space="preserve">ésta no altera la correlación lógica y cronológica de las actuaciones, así </w:t>
      </w:r>
      <w:r w:rsidR="00701BD6">
        <w:rPr>
          <w:rFonts w:ascii="Arial" w:hAnsi="Arial" w:cs="Arial"/>
        </w:rPr>
        <w:lastRenderedPageBreak/>
        <w:t>como tampoco la eliminación de la hoja de reserva de folio en el expediente electrónico</w:t>
      </w:r>
      <w:r w:rsidR="00147900">
        <w:rPr>
          <w:rFonts w:ascii="Arial" w:hAnsi="Arial" w:cs="Arial"/>
        </w:rPr>
        <w:t>.;</w:t>
      </w:r>
    </w:p>
    <w:p w:rsidR="002612BC" w:rsidRDefault="00147900" w:rsidP="001C0E59">
      <w:pPr>
        <w:pStyle w:val="Textoindependiente"/>
        <w:ind w:firstLine="851"/>
        <w:rPr>
          <w:i w:val="0"/>
        </w:rPr>
      </w:pPr>
      <w:r>
        <w:rPr>
          <w:b/>
          <w:i w:val="0"/>
        </w:rPr>
        <w:t>CONSIDERANDO</w:t>
      </w:r>
      <w:r w:rsidR="00F44FEF" w:rsidRPr="001C0E59">
        <w:rPr>
          <w:b/>
          <w:bCs w:val="0"/>
          <w:i w:val="0"/>
        </w:rPr>
        <w:t>:</w:t>
      </w:r>
      <w:r w:rsidR="001C0E59">
        <w:rPr>
          <w:bCs w:val="0"/>
          <w:i w:val="0"/>
        </w:rPr>
        <w:t xml:space="preserve"> </w:t>
      </w:r>
      <w:r w:rsidR="00F44FEF" w:rsidRPr="00F44FEF">
        <w:rPr>
          <w:b/>
          <w:bCs w:val="0"/>
          <w:i w:val="0"/>
        </w:rPr>
        <w:t>1)</w:t>
      </w:r>
      <w:r w:rsidR="00F44FEF">
        <w:rPr>
          <w:bCs w:val="0"/>
          <w:i w:val="0"/>
        </w:rPr>
        <w:t xml:space="preserve"> </w:t>
      </w:r>
      <w:r w:rsidR="00F44FEF">
        <w:rPr>
          <w:i w:val="0"/>
        </w:rPr>
        <w:t xml:space="preserve">que, de acuerdo </w:t>
      </w:r>
      <w:r w:rsidR="00EB06B5">
        <w:rPr>
          <w:i w:val="0"/>
        </w:rPr>
        <w:t>con</w:t>
      </w:r>
      <w:r w:rsidR="00F44FEF">
        <w:rPr>
          <w:i w:val="0"/>
        </w:rPr>
        <w:t xml:space="preserve"> lo dispuesto por el Artículo 157 del TOCAF, cuando se invoquen razones de urgencia o imprevistos de carácter excepcional deberán fundarse adecuadamente y, en el primer caso, informar sobre la imposibilidad de la previsión en el tiempo, lo que no se hizo en su oportunidad;</w:t>
      </w:r>
    </w:p>
    <w:p w:rsidR="00F44FEF" w:rsidRDefault="002612BC" w:rsidP="005659DF">
      <w:pPr>
        <w:pStyle w:val="Textoindependiente"/>
        <w:ind w:firstLine="2977"/>
        <w:rPr>
          <w:i w:val="0"/>
        </w:rPr>
      </w:pPr>
      <w:r w:rsidRPr="002612BC">
        <w:rPr>
          <w:b/>
          <w:i w:val="0"/>
        </w:rPr>
        <w:t>2)</w:t>
      </w:r>
      <w:r>
        <w:rPr>
          <w:i w:val="0"/>
        </w:rPr>
        <w:t xml:space="preserve"> que ello, sin perjuicio de lo establecido en el </w:t>
      </w:r>
      <w:r w:rsidR="00EB06B5">
        <w:rPr>
          <w:i w:val="0"/>
        </w:rPr>
        <w:t>A</w:t>
      </w:r>
      <w:r>
        <w:rPr>
          <w:i w:val="0"/>
        </w:rPr>
        <w:t>rtículo 21del Decreto 30/003 que dispone que el funcionario debe motivar los actos administrativos que dicte, explicitando las razones de hecho y de derecho que lo fundamenten;</w:t>
      </w:r>
      <w:r w:rsidR="00F44FEF">
        <w:rPr>
          <w:i w:val="0"/>
        </w:rPr>
        <w:t xml:space="preserve"> </w:t>
      </w:r>
    </w:p>
    <w:p w:rsidR="002612BC" w:rsidRDefault="002612BC" w:rsidP="005659DF">
      <w:pPr>
        <w:pStyle w:val="Textoindependiente"/>
        <w:ind w:firstLine="2977"/>
        <w:rPr>
          <w:i w:val="0"/>
        </w:rPr>
      </w:pPr>
      <w:r>
        <w:rPr>
          <w:b/>
          <w:i w:val="0"/>
        </w:rPr>
        <w:t>3</w:t>
      </w:r>
      <w:r w:rsidR="00F44FEF" w:rsidRPr="00F44FEF">
        <w:rPr>
          <w:b/>
          <w:i w:val="0"/>
        </w:rPr>
        <w:t>)</w:t>
      </w:r>
      <w:r w:rsidR="00F44FEF">
        <w:rPr>
          <w:i w:val="0"/>
        </w:rPr>
        <w:t xml:space="preserve"> que </w:t>
      </w:r>
      <w:r w:rsidR="00147900">
        <w:rPr>
          <w:i w:val="0"/>
        </w:rPr>
        <w:t>se mantienen incambiadas las razones por</w:t>
      </w:r>
    </w:p>
    <w:p w:rsidR="00147900" w:rsidRPr="00F44FEF" w:rsidRDefault="002612BC" w:rsidP="00F44FEF">
      <w:pPr>
        <w:pStyle w:val="Textoindependiente"/>
        <w:rPr>
          <w:i w:val="0"/>
        </w:rPr>
      </w:pPr>
      <w:proofErr w:type="gramStart"/>
      <w:r>
        <w:rPr>
          <w:i w:val="0"/>
        </w:rPr>
        <w:t>l</w:t>
      </w:r>
      <w:r w:rsidR="00147900">
        <w:rPr>
          <w:i w:val="0"/>
        </w:rPr>
        <w:t>as</w:t>
      </w:r>
      <w:proofErr w:type="gramEnd"/>
      <w:r>
        <w:rPr>
          <w:i w:val="0"/>
        </w:rPr>
        <w:t xml:space="preserve"> </w:t>
      </w:r>
      <w:r w:rsidR="00147900">
        <w:rPr>
          <w:i w:val="0"/>
        </w:rPr>
        <w:t>cuales este Tribunal observó el gasto de referencia;</w:t>
      </w:r>
      <w:r w:rsidR="00147900">
        <w:rPr>
          <w:i w:val="0"/>
        </w:rPr>
        <w:tab/>
        <w:t xml:space="preserve"> </w:t>
      </w:r>
    </w:p>
    <w:p w:rsidR="00147900" w:rsidRDefault="00147900" w:rsidP="001C0E59">
      <w:pPr>
        <w:suppressAutoHyphens/>
        <w:spacing w:line="360" w:lineRule="auto"/>
        <w:ind w:firstLine="851"/>
        <w:jc w:val="both"/>
        <w:rPr>
          <w:rFonts w:ascii="Arial" w:hAnsi="Arial" w:cs="Arial"/>
        </w:rPr>
      </w:pPr>
      <w:r>
        <w:rPr>
          <w:rFonts w:ascii="Arial" w:hAnsi="Arial" w:cs="Arial"/>
          <w:b/>
          <w:bCs/>
        </w:rPr>
        <w:t>ATENTO</w:t>
      </w:r>
      <w:r w:rsidRPr="005659DF">
        <w:rPr>
          <w:rFonts w:ascii="Arial" w:hAnsi="Arial" w:cs="Arial"/>
          <w:b/>
        </w:rPr>
        <w:t>:</w:t>
      </w:r>
      <w:r>
        <w:rPr>
          <w:rFonts w:ascii="Arial" w:hAnsi="Arial" w:cs="Arial"/>
        </w:rPr>
        <w:t xml:space="preserve"> a lo precedentemente expuesto, y a lo dispuesto por el Artículo 211, </w:t>
      </w:r>
      <w:r w:rsidR="00EB06B5">
        <w:rPr>
          <w:rFonts w:ascii="Arial" w:hAnsi="Arial" w:cs="Arial"/>
        </w:rPr>
        <w:t>L</w:t>
      </w:r>
      <w:r>
        <w:rPr>
          <w:rFonts w:ascii="Arial" w:hAnsi="Arial" w:cs="Arial"/>
        </w:rPr>
        <w:t xml:space="preserve">iteral B) de </w:t>
      </w:r>
      <w:smartTag w:uri="urn:schemas-microsoft-com:office:smarttags" w:element="PersonName">
        <w:smartTagPr>
          <w:attr w:name="ProductID" w:val="la Constituci￳n"/>
        </w:smartTagPr>
        <w:r>
          <w:rPr>
            <w:rFonts w:ascii="Arial" w:hAnsi="Arial" w:cs="Arial"/>
          </w:rPr>
          <w:t>la Constitución</w:t>
        </w:r>
      </w:smartTag>
      <w:r>
        <w:rPr>
          <w:rFonts w:ascii="Arial" w:hAnsi="Arial" w:cs="Arial"/>
        </w:rPr>
        <w:t xml:space="preserve"> de </w:t>
      </w:r>
      <w:smartTag w:uri="urn:schemas-microsoft-com:office:smarttags" w:element="PersonName">
        <w:smartTagPr>
          <w:attr w:name="ProductID" w:val="la Rep￺blica"/>
        </w:smartTagPr>
        <w:r>
          <w:rPr>
            <w:rFonts w:ascii="Arial" w:hAnsi="Arial" w:cs="Arial"/>
          </w:rPr>
          <w:t>la República</w:t>
        </w:r>
      </w:smartTag>
      <w:r>
        <w:rPr>
          <w:rFonts w:ascii="Arial" w:hAnsi="Arial" w:cs="Arial"/>
        </w:rPr>
        <w:t>;</w:t>
      </w:r>
    </w:p>
    <w:p w:rsidR="00147900" w:rsidRDefault="00147900" w:rsidP="00147900">
      <w:pPr>
        <w:pStyle w:val="Ttulo2"/>
        <w:rPr>
          <w:rFonts w:ascii="Arial" w:hAnsi="Arial" w:cs="Arial"/>
          <w:u w:val="none"/>
        </w:rPr>
      </w:pPr>
      <w:r>
        <w:rPr>
          <w:rFonts w:ascii="Arial" w:hAnsi="Arial" w:cs="Arial"/>
          <w:u w:val="none"/>
        </w:rPr>
        <w:t>EL TRIBUNAL ACUERDA</w:t>
      </w:r>
    </w:p>
    <w:p w:rsidR="00147900" w:rsidRDefault="00147900" w:rsidP="00EB06B5">
      <w:pPr>
        <w:spacing w:line="360" w:lineRule="auto"/>
        <w:ind w:left="284" w:hanging="284"/>
        <w:jc w:val="both"/>
        <w:rPr>
          <w:rFonts w:ascii="Arial" w:hAnsi="Arial" w:cs="Arial"/>
          <w:b/>
          <w:lang w:val="es-UY"/>
        </w:rPr>
      </w:pPr>
      <w:r>
        <w:rPr>
          <w:rFonts w:ascii="Arial" w:hAnsi="Arial" w:cs="Arial"/>
          <w:b/>
        </w:rPr>
        <w:t xml:space="preserve">1) </w:t>
      </w:r>
      <w:r>
        <w:rPr>
          <w:rFonts w:ascii="Arial" w:hAnsi="Arial" w:cs="Arial"/>
        </w:rPr>
        <w:t xml:space="preserve">Mantener la observación formulada </w:t>
      </w:r>
      <w:r>
        <w:rPr>
          <w:rFonts w:ascii="Arial" w:hAnsi="Arial" w:cs="Arial"/>
          <w:lang w:val="es-UY"/>
        </w:rPr>
        <w:t>por este</w:t>
      </w:r>
      <w:r>
        <w:rPr>
          <w:rFonts w:ascii="Arial" w:hAnsi="Arial" w:cs="Arial"/>
          <w:bCs/>
          <w:lang w:val="es-MX"/>
        </w:rPr>
        <w:t xml:space="preserve"> Tribunal el 9</w:t>
      </w:r>
      <w:r>
        <w:rPr>
          <w:rFonts w:ascii="Arial" w:hAnsi="Arial" w:cs="Arial"/>
        </w:rPr>
        <w:t xml:space="preserve"> de octubre de 2013</w:t>
      </w:r>
      <w:r w:rsidR="005659DF">
        <w:rPr>
          <w:rFonts w:ascii="Arial" w:hAnsi="Arial" w:cs="Arial"/>
          <w:bCs/>
          <w:lang w:val="es-MX"/>
        </w:rPr>
        <w:t>;</w:t>
      </w:r>
    </w:p>
    <w:p w:rsidR="00147900" w:rsidRDefault="00147900" w:rsidP="00147900">
      <w:pPr>
        <w:spacing w:line="360" w:lineRule="auto"/>
        <w:jc w:val="both"/>
        <w:rPr>
          <w:rFonts w:ascii="Arial" w:hAnsi="Arial" w:cs="Arial"/>
        </w:rPr>
      </w:pPr>
      <w:r>
        <w:rPr>
          <w:rFonts w:ascii="Arial" w:hAnsi="Arial" w:cs="Arial"/>
          <w:b/>
        </w:rPr>
        <w:t xml:space="preserve">2) </w:t>
      </w:r>
      <w:r>
        <w:rPr>
          <w:rFonts w:ascii="Arial" w:hAnsi="Arial" w:cs="Arial"/>
        </w:rPr>
        <w:t>Comunicar al Poder Ejecutivo</w:t>
      </w:r>
      <w:r w:rsidR="00EB06B5">
        <w:rPr>
          <w:rFonts w:ascii="Arial" w:hAnsi="Arial" w:cs="Arial"/>
        </w:rPr>
        <w:t>, al Organismo</w:t>
      </w:r>
      <w:r>
        <w:rPr>
          <w:rFonts w:ascii="Arial" w:hAnsi="Arial" w:cs="Arial"/>
        </w:rPr>
        <w:t xml:space="preserve"> y al Contador </w:t>
      </w:r>
      <w:r w:rsidR="00EB06B5">
        <w:rPr>
          <w:rFonts w:ascii="Arial" w:hAnsi="Arial" w:cs="Arial"/>
        </w:rPr>
        <w:t>D</w:t>
      </w:r>
      <w:r>
        <w:rPr>
          <w:rFonts w:ascii="Arial" w:hAnsi="Arial" w:cs="Arial"/>
        </w:rPr>
        <w:t>elegado</w:t>
      </w:r>
      <w:r w:rsidR="00EB06B5">
        <w:rPr>
          <w:rFonts w:ascii="Arial" w:hAnsi="Arial" w:cs="Arial"/>
        </w:rPr>
        <w:t xml:space="preserve">; </w:t>
      </w:r>
      <w:r w:rsidR="00EB06B5">
        <w:rPr>
          <w:rFonts w:ascii="Arial" w:hAnsi="Arial" w:cs="Arial"/>
        </w:rPr>
        <w:tab/>
        <w:t>y</w:t>
      </w:r>
    </w:p>
    <w:p w:rsidR="00147900" w:rsidRDefault="00147900" w:rsidP="00147900">
      <w:pPr>
        <w:spacing w:line="360" w:lineRule="auto"/>
        <w:jc w:val="both"/>
        <w:rPr>
          <w:rFonts w:ascii="Arial" w:hAnsi="Arial" w:cs="Arial"/>
        </w:rPr>
      </w:pPr>
      <w:r w:rsidRPr="00147900">
        <w:rPr>
          <w:rFonts w:ascii="Arial" w:hAnsi="Arial" w:cs="Arial"/>
          <w:b/>
        </w:rPr>
        <w:t>3)</w:t>
      </w:r>
      <w:r>
        <w:rPr>
          <w:rFonts w:ascii="Arial" w:hAnsi="Arial" w:cs="Arial"/>
        </w:rPr>
        <w:t xml:space="preserve"> D</w:t>
      </w:r>
      <w:r w:rsidR="00EB06B5">
        <w:rPr>
          <w:rFonts w:ascii="Arial" w:hAnsi="Arial" w:cs="Arial"/>
        </w:rPr>
        <w:t>ar cuenta a la Asamblea General.</w:t>
      </w:r>
    </w:p>
    <w:p w:rsidR="007A3CA6" w:rsidRDefault="00EB06B5" w:rsidP="00EB06B5">
      <w:pPr>
        <w:spacing w:line="360" w:lineRule="auto"/>
        <w:jc w:val="both"/>
        <w:rPr>
          <w:rFonts w:ascii="Arial" w:hAnsi="Arial" w:cs="Arial"/>
        </w:rPr>
      </w:pPr>
      <w:proofErr w:type="spellStart"/>
      <w:proofErr w:type="gramStart"/>
      <w:r>
        <w:rPr>
          <w:rFonts w:ascii="Arial" w:hAnsi="Arial" w:cs="Arial"/>
        </w:rPr>
        <w:t>cr</w:t>
      </w:r>
      <w:proofErr w:type="spellEnd"/>
      <w:proofErr w:type="gramEnd"/>
    </w:p>
    <w:sectPr w:rsidR="007A3CA6" w:rsidSect="00EB06B5">
      <w:pgSz w:w="11906" w:h="16838"/>
      <w:pgMar w:top="3402"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13F3D"/>
    <w:multiLevelType w:val="multilevel"/>
    <w:tmpl w:val="7A1029E2"/>
    <w:lvl w:ilvl="0">
      <w:start w:val="1"/>
      <w:numFmt w:val="decimal"/>
      <w:lvlText w:val="%1."/>
      <w:lvlJc w:val="left"/>
      <w:pPr>
        <w:tabs>
          <w:tab w:val="num" w:pos="1500"/>
        </w:tabs>
        <w:ind w:left="1500" w:hanging="1500"/>
      </w:pPr>
      <w:rPr>
        <w:rFonts w:hint="default"/>
        <w:b/>
      </w:rPr>
    </w:lvl>
    <w:lvl w:ilvl="1">
      <w:start w:val="1"/>
      <w:numFmt w:val="decimal"/>
      <w:lvlText w:val="%1.%2)"/>
      <w:lvlJc w:val="left"/>
      <w:pPr>
        <w:tabs>
          <w:tab w:val="num" w:pos="4406"/>
        </w:tabs>
        <w:ind w:left="4406" w:hanging="1500"/>
      </w:pPr>
      <w:rPr>
        <w:rFonts w:hint="default"/>
        <w:b/>
      </w:rPr>
    </w:lvl>
    <w:lvl w:ilvl="2">
      <w:start w:val="1"/>
      <w:numFmt w:val="decimal"/>
      <w:lvlText w:val="%1.%2)%3."/>
      <w:lvlJc w:val="left"/>
      <w:pPr>
        <w:tabs>
          <w:tab w:val="num" w:pos="7312"/>
        </w:tabs>
        <w:ind w:left="7312" w:hanging="1500"/>
      </w:pPr>
      <w:rPr>
        <w:rFonts w:hint="default"/>
        <w:b/>
      </w:rPr>
    </w:lvl>
    <w:lvl w:ilvl="3">
      <w:start w:val="1"/>
      <w:numFmt w:val="decimal"/>
      <w:lvlText w:val="%1.%2)%3.%4."/>
      <w:lvlJc w:val="left"/>
      <w:pPr>
        <w:tabs>
          <w:tab w:val="num" w:pos="10218"/>
        </w:tabs>
        <w:ind w:left="10218" w:hanging="1500"/>
      </w:pPr>
      <w:rPr>
        <w:rFonts w:hint="default"/>
        <w:b/>
      </w:rPr>
    </w:lvl>
    <w:lvl w:ilvl="4">
      <w:start w:val="1"/>
      <w:numFmt w:val="decimal"/>
      <w:lvlText w:val="%1.%2)%3.%4.%5."/>
      <w:lvlJc w:val="left"/>
      <w:pPr>
        <w:tabs>
          <w:tab w:val="num" w:pos="13124"/>
        </w:tabs>
        <w:ind w:left="13124" w:hanging="1500"/>
      </w:pPr>
      <w:rPr>
        <w:rFonts w:hint="default"/>
        <w:b/>
      </w:rPr>
    </w:lvl>
    <w:lvl w:ilvl="5">
      <w:start w:val="1"/>
      <w:numFmt w:val="decimal"/>
      <w:lvlText w:val="%1.%2)%3.%4.%5.%6."/>
      <w:lvlJc w:val="left"/>
      <w:pPr>
        <w:tabs>
          <w:tab w:val="num" w:pos="16030"/>
        </w:tabs>
        <w:ind w:left="16030" w:hanging="1500"/>
      </w:pPr>
      <w:rPr>
        <w:rFonts w:hint="default"/>
        <w:b/>
      </w:rPr>
    </w:lvl>
    <w:lvl w:ilvl="6">
      <w:start w:val="1"/>
      <w:numFmt w:val="decimal"/>
      <w:lvlText w:val="%1.%2)%3.%4.%5.%6.%7."/>
      <w:lvlJc w:val="left"/>
      <w:pPr>
        <w:tabs>
          <w:tab w:val="num" w:pos="18936"/>
        </w:tabs>
        <w:ind w:left="18936" w:hanging="1500"/>
      </w:pPr>
      <w:rPr>
        <w:rFonts w:hint="default"/>
        <w:b/>
      </w:rPr>
    </w:lvl>
    <w:lvl w:ilvl="7">
      <w:start w:val="1"/>
      <w:numFmt w:val="decimal"/>
      <w:lvlText w:val="%1.%2)%3.%4.%5.%6.%7.%8."/>
      <w:lvlJc w:val="left"/>
      <w:pPr>
        <w:tabs>
          <w:tab w:val="num" w:pos="22142"/>
        </w:tabs>
        <w:ind w:left="22142" w:hanging="1800"/>
      </w:pPr>
      <w:rPr>
        <w:rFonts w:hint="default"/>
        <w:b/>
      </w:rPr>
    </w:lvl>
    <w:lvl w:ilvl="8">
      <w:start w:val="1"/>
      <w:numFmt w:val="decimal"/>
      <w:lvlText w:val="%1.%2)%3.%4.%5.%6.%7.%8.%9."/>
      <w:lvlJc w:val="left"/>
      <w:pPr>
        <w:tabs>
          <w:tab w:val="num" w:pos="25408"/>
        </w:tabs>
        <w:ind w:left="25408" w:hanging="21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0413"/>
    <w:rsid w:val="0005143B"/>
    <w:rsid w:val="000860EA"/>
    <w:rsid w:val="00146F6F"/>
    <w:rsid w:val="00147900"/>
    <w:rsid w:val="001813A6"/>
    <w:rsid w:val="001A13F0"/>
    <w:rsid w:val="001C0E59"/>
    <w:rsid w:val="001D3A0B"/>
    <w:rsid w:val="001F738E"/>
    <w:rsid w:val="002172B9"/>
    <w:rsid w:val="002612BC"/>
    <w:rsid w:val="002C575B"/>
    <w:rsid w:val="002E0A44"/>
    <w:rsid w:val="00326059"/>
    <w:rsid w:val="00385C04"/>
    <w:rsid w:val="00391B06"/>
    <w:rsid w:val="004235B9"/>
    <w:rsid w:val="004903E9"/>
    <w:rsid w:val="004F0413"/>
    <w:rsid w:val="005659DF"/>
    <w:rsid w:val="005C5FF1"/>
    <w:rsid w:val="006157F7"/>
    <w:rsid w:val="006B2B82"/>
    <w:rsid w:val="00701BD6"/>
    <w:rsid w:val="007A3CA6"/>
    <w:rsid w:val="008110B3"/>
    <w:rsid w:val="00931037"/>
    <w:rsid w:val="00940017"/>
    <w:rsid w:val="00944EF4"/>
    <w:rsid w:val="009E687A"/>
    <w:rsid w:val="00A00697"/>
    <w:rsid w:val="00B25E79"/>
    <w:rsid w:val="00B93387"/>
    <w:rsid w:val="00BB7726"/>
    <w:rsid w:val="00C85135"/>
    <w:rsid w:val="00D31A58"/>
    <w:rsid w:val="00D6409D"/>
    <w:rsid w:val="00DC71FF"/>
    <w:rsid w:val="00EB06B5"/>
    <w:rsid w:val="00F44FEF"/>
    <w:rsid w:val="00FA2A1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2">
    <w:name w:val="heading 2"/>
    <w:basedOn w:val="Normal"/>
    <w:next w:val="Normal"/>
    <w:qFormat/>
    <w:rsid w:val="00147900"/>
    <w:pPr>
      <w:keepNext/>
      <w:jc w:val="center"/>
      <w:outlineLvl w:val="1"/>
    </w:pPr>
    <w:rPr>
      <w:b/>
      <w:kern w:val="28"/>
      <w:szCs w:val="20"/>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147900"/>
    <w:pPr>
      <w:spacing w:line="360" w:lineRule="auto"/>
      <w:jc w:val="both"/>
    </w:pPr>
    <w:rPr>
      <w:rFonts w:ascii="Arial" w:hAnsi="Arial" w:cs="Arial"/>
      <w:bCs/>
      <w:i/>
      <w:kern w:val="28"/>
      <w:szCs w:val="20"/>
      <w:lang w:val="es-MX"/>
    </w:rPr>
  </w:style>
  <w:style w:type="paragraph" w:styleId="Textodeglobo">
    <w:name w:val="Balloon Text"/>
    <w:basedOn w:val="Normal"/>
    <w:link w:val="TextodegloboCar"/>
    <w:rsid w:val="00EB06B5"/>
    <w:rPr>
      <w:rFonts w:ascii="Tahoma" w:hAnsi="Tahoma" w:cs="Tahoma"/>
      <w:sz w:val="16"/>
      <w:szCs w:val="16"/>
    </w:rPr>
  </w:style>
  <w:style w:type="character" w:customStyle="1" w:styleId="TextodegloboCar">
    <w:name w:val="Texto de globo Car"/>
    <w:basedOn w:val="Fuentedeprrafopredeter"/>
    <w:link w:val="Textodeglobo"/>
    <w:rsid w:val="00EB06B5"/>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433</Words>
  <Characters>2383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CARPETA Nº 5694</vt:lpstr>
    </vt:vector>
  </TitlesOfParts>
  <Company/>
  <LinksUpToDate>false</LinksUpToDate>
  <CharactersWithSpaces>2811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5694</dc:title>
  <dc:subject/>
  <dc:creator>17782211</dc:creator>
  <cp:keywords/>
  <dc:description/>
  <cp:lastModifiedBy> </cp:lastModifiedBy>
  <cp:revision>4</cp:revision>
  <cp:lastPrinted>2013-12-04T15:59:00Z</cp:lastPrinted>
  <dcterms:created xsi:type="dcterms:W3CDTF">2013-12-04T15:59:00Z</dcterms:created>
  <dcterms:modified xsi:type="dcterms:W3CDTF">2014-01-22T14:33:00Z</dcterms:modified>
</cp:coreProperties>
</file>