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75" w:rsidRDefault="00644B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44B75" w:rsidRDefault="00644B7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44B75" w:rsidRDefault="00644B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44B75" w:rsidRDefault="00644B7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44B75" w:rsidRDefault="00644B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644B75" w:rsidRDefault="00644B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44B75" w:rsidRPr="00644B75" w:rsidRDefault="00644B75" w:rsidP="00644B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71E4A">
        <w:rPr>
          <w:rFonts w:ascii="Helvetica" w:hAnsi="Helvetica"/>
          <w:b/>
          <w:lang w:val="en-US"/>
        </w:rPr>
        <w:t xml:space="preserve">(E. E. Nº 2013-17-1-0004339, </w:t>
      </w:r>
      <w:proofErr w:type="spellStart"/>
      <w:proofErr w:type="gramStart"/>
      <w:r w:rsidRPr="00771E4A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771E4A">
        <w:rPr>
          <w:rFonts w:ascii="Helvetica" w:hAnsi="Helvetica"/>
          <w:b/>
          <w:lang w:val="en-US"/>
        </w:rPr>
        <w:t xml:space="preserve">. </w:t>
      </w:r>
      <w:proofErr w:type="gramStart"/>
      <w:r w:rsidRPr="00771E4A">
        <w:rPr>
          <w:rFonts w:ascii="Helvetica" w:hAnsi="Helvetica"/>
          <w:b/>
          <w:lang w:val="en-US"/>
        </w:rPr>
        <w:t xml:space="preserve">N° </w:t>
      </w:r>
      <w:proofErr w:type="spellStart"/>
      <w:r w:rsidRPr="00771E4A">
        <w:rPr>
          <w:rFonts w:ascii="Helvetica" w:hAnsi="Helvetica"/>
          <w:b/>
          <w:lang w:val="en-US"/>
        </w:rPr>
        <w:t>inic</w:t>
      </w:r>
      <w:proofErr w:type="spellEnd"/>
      <w:r w:rsidRPr="00771E4A">
        <w:rPr>
          <w:rFonts w:ascii="Helvetica" w:hAnsi="Helvetica"/>
          <w:b/>
          <w:lang w:val="en-US"/>
        </w:rPr>
        <w:t>.</w:t>
      </w:r>
      <w:proofErr w:type="gramEnd"/>
      <w:r w:rsidRPr="00771E4A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722/13</w:t>
      </w:r>
      <w:r w:rsidRPr="00644B75">
        <w:rPr>
          <w:rFonts w:ascii="Helvetica" w:hAnsi="Helvetica"/>
          <w:b/>
          <w:lang w:val="es-UY"/>
        </w:rPr>
        <w:t>)</w:t>
      </w:r>
    </w:p>
    <w:p w:rsidR="00644B75" w:rsidRPr="00644B75" w:rsidRDefault="00644B75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44B75" w:rsidRPr="00644B75" w:rsidRDefault="00644B75">
      <w:pPr>
        <w:tabs>
          <w:tab w:val="center" w:pos="4253"/>
        </w:tabs>
        <w:suppressAutoHyphens/>
        <w:rPr>
          <w:spacing w:val="-3"/>
          <w:lang w:val="es-UY"/>
        </w:rPr>
      </w:pPr>
    </w:p>
    <w:p w:rsidR="00C777C0" w:rsidRDefault="00C777C0" w:rsidP="0093003E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los antecedentes </w:t>
      </w:r>
      <w:r w:rsidR="00BC4477">
        <w:t xml:space="preserve">remitidos por </w:t>
      </w:r>
      <w:r w:rsidR="001B52AD">
        <w:t xml:space="preserve">la </w:t>
      </w:r>
      <w:r w:rsidR="001B52AD">
        <w:rPr>
          <w:bCs/>
        </w:rPr>
        <w:t xml:space="preserve">Auditoría destacada ante el Ministerio del Interior, </w:t>
      </w:r>
      <w:r w:rsidR="007C505A">
        <w:t xml:space="preserve">relacionados con </w:t>
      </w:r>
      <w:r w:rsidR="001B52AD">
        <w:t xml:space="preserve">los pagos dispuestos </w:t>
      </w:r>
      <w:r w:rsidR="007C505A">
        <w:t>a la empresa SEG INGENIERIA S.A.</w:t>
      </w:r>
      <w:r w:rsidR="001B52AD">
        <w:t>,</w:t>
      </w:r>
      <w:r w:rsidR="007C505A">
        <w:t xml:space="preserve"> en el marco de ahorro de energía eléctrica y de agua en establecimientos penitenciarios</w:t>
      </w:r>
      <w:r>
        <w:t>;</w:t>
      </w:r>
    </w:p>
    <w:p w:rsidR="007C505A" w:rsidRDefault="00C777C0" w:rsidP="0093003E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 w:rsidR="00B15DC6" w:rsidRPr="00B15DC6">
        <w:rPr>
          <w:b/>
          <w:bCs/>
        </w:rPr>
        <w:t xml:space="preserve"> </w:t>
      </w:r>
      <w:r w:rsidR="000E4A77">
        <w:rPr>
          <w:b/>
          <w:bCs/>
        </w:rPr>
        <w:t>1</w:t>
      </w:r>
      <w:r w:rsidR="00B15DC6" w:rsidRPr="00B15DC6">
        <w:rPr>
          <w:b/>
          <w:bCs/>
        </w:rPr>
        <w:t xml:space="preserve">) </w:t>
      </w:r>
      <w:r w:rsidR="007C505A" w:rsidRPr="007C505A">
        <w:rPr>
          <w:bCs/>
        </w:rPr>
        <w:t>que por</w:t>
      </w:r>
      <w:r w:rsidR="007C505A">
        <w:rPr>
          <w:b/>
          <w:bCs/>
        </w:rPr>
        <w:t xml:space="preserve"> </w:t>
      </w:r>
      <w:r w:rsidR="007C505A">
        <w:t>Resolución de la Dirección General de Secretaría del Ministerio del Interior, de fecha 3 de julio de 2012, se autorizó la compra directa por excepción prevista en el</w:t>
      </w:r>
      <w:r w:rsidR="00644B75">
        <w:t xml:space="preserve"> Numeral</w:t>
      </w:r>
      <w:r w:rsidR="007C505A">
        <w:t xml:space="preserve"> 26</w:t>
      </w:r>
      <w:r w:rsidR="00644B75">
        <w:t>)</w:t>
      </w:r>
      <w:r w:rsidR="007C505A">
        <w:t xml:space="preserve">, </w:t>
      </w:r>
      <w:r w:rsidR="00644B75">
        <w:t>L</w:t>
      </w:r>
      <w:r w:rsidR="007C505A">
        <w:t>it</w:t>
      </w:r>
      <w:r w:rsidR="00644B75">
        <w:t>eral</w:t>
      </w:r>
      <w:r w:rsidR="007C505A">
        <w:t xml:space="preserve"> C), del </w:t>
      </w:r>
      <w:r w:rsidR="00644B75">
        <w:t>A</w:t>
      </w:r>
      <w:r w:rsidR="007C505A">
        <w:t>rtículo 33 del TOCAF, para el ahorro del costo de agua en los Establecimientos Penitenciarios de Punta de Rieles, Santiago Vázquez y Centro Metropolitano de Rehabilitación de Mujeres a la firma SEG INGENIERIA SA, por un monto correspondiente al 50 % del ahorro obtenido durante los 24 meses posteriores;</w:t>
      </w:r>
    </w:p>
    <w:p w:rsidR="007C505A" w:rsidRDefault="0093003E" w:rsidP="00644B75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</w:rPr>
        <w:t xml:space="preserve"> </w:t>
      </w:r>
      <w:r w:rsidR="007C505A" w:rsidRPr="007C505A">
        <w:rPr>
          <w:b/>
        </w:rPr>
        <w:t>2)</w:t>
      </w:r>
      <w:r w:rsidR="007C505A">
        <w:t xml:space="preserve"> que por Resoluciones de la Dirección General de Secretaría del Ministerio del Interior, de fecha 2 de enero de 2013, se autorizó a la empresa SEG INGENIERIA SA, en el marco de la compra directa por excepción indicada y al amparo de lo establecido por el </w:t>
      </w:r>
      <w:r w:rsidR="00644B75">
        <w:t>N</w:t>
      </w:r>
      <w:r w:rsidR="007C505A">
        <w:t>um</w:t>
      </w:r>
      <w:r w:rsidR="00644B75">
        <w:t>eral</w:t>
      </w:r>
      <w:r w:rsidR="007C505A">
        <w:t xml:space="preserve"> 26, </w:t>
      </w:r>
      <w:r w:rsidR="00644B75">
        <w:t>L</w:t>
      </w:r>
      <w:r w:rsidR="007C505A">
        <w:t>it</w:t>
      </w:r>
      <w:r w:rsidR="00644B75">
        <w:t>eral</w:t>
      </w:r>
      <w:r w:rsidR="007C505A">
        <w:t xml:space="preserve"> C), del </w:t>
      </w:r>
      <w:r w:rsidR="00644B75">
        <w:t>A</w:t>
      </w:r>
      <w:r w:rsidR="007C505A">
        <w:t xml:space="preserve">rtículo 33 del TOCAF, por el régimen de empresa de servicio energético bajo contrato remunerado por desempeño; </w:t>
      </w:r>
    </w:p>
    <w:p w:rsidR="007C505A" w:rsidRDefault="0093003E" w:rsidP="00644B75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</w:rPr>
        <w:t xml:space="preserve"> </w:t>
      </w:r>
      <w:r w:rsidR="007C505A" w:rsidRPr="007C505A">
        <w:rPr>
          <w:b/>
        </w:rPr>
        <w:t>3)</w:t>
      </w:r>
      <w:r w:rsidR="007C505A">
        <w:t xml:space="preserve"> que en virtud de lo dispuesto en las Resoluciones indicadas, se previó que la empresa suministrará agua subterránea, para los siguientes establecimientos penitenciarios: i) Punta de Rieles con un proyecto de U$S 85.000 impuestos incluidos, servicio de mantenimiento de $ 13,4</w:t>
      </w:r>
      <w:r w:rsidR="001B52AD">
        <w:t>0</w:t>
      </w:r>
      <w:r w:rsidR="007C505A">
        <w:t xml:space="preserve"> </w:t>
      </w:r>
      <w:r w:rsidR="001B52AD">
        <w:t>IVA</w:t>
      </w:r>
      <w:r w:rsidR="007C505A">
        <w:t xml:space="preserve"> incluido por metro cúbico; ii) CNR con un proyecto de U$S 73.000 impuestos incluidos, servicio de mantenimiento $ 13,4</w:t>
      </w:r>
      <w:r w:rsidR="001B52AD">
        <w:t>0</w:t>
      </w:r>
      <w:r w:rsidR="007C505A">
        <w:t xml:space="preserve"> IVA incluido; iii) COMCAR </w:t>
      </w:r>
      <w:r w:rsidR="007C505A" w:rsidRPr="00644B75">
        <w:rPr>
          <w:spacing w:val="6"/>
        </w:rPr>
        <w:lastRenderedPageBreak/>
        <w:t>proyecto por U$S 122.000 impuestos incluidos, servicio de mantenimiento $</w:t>
      </w:r>
      <w:r w:rsidR="007C505A">
        <w:t xml:space="preserve"> 13,4</w:t>
      </w:r>
      <w:r w:rsidR="001B52AD">
        <w:t>0</w:t>
      </w:r>
      <w:r w:rsidR="007C505A">
        <w:t xml:space="preserve"> IVA incluido;</w:t>
      </w:r>
    </w:p>
    <w:p w:rsidR="007C505A" w:rsidRDefault="0093003E" w:rsidP="00644B75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</w:rPr>
        <w:t xml:space="preserve"> </w:t>
      </w:r>
      <w:r w:rsidR="007C505A" w:rsidRPr="00973B43">
        <w:rPr>
          <w:b/>
        </w:rPr>
        <w:t>4)</w:t>
      </w:r>
      <w:r w:rsidR="007C505A">
        <w:t xml:space="preserve"> que</w:t>
      </w:r>
      <w:r w:rsidR="00973B43">
        <w:rPr>
          <w:bCs/>
        </w:rPr>
        <w:t>,</w:t>
      </w:r>
      <w:r w:rsidR="007C505A">
        <w:t xml:space="preserve"> en Resolución de este Tribunal, de fecha 18 de setiembre de 2013, se dispuso</w:t>
      </w:r>
      <w:r w:rsidR="00973B43">
        <w:t xml:space="preserve"> observar la contratación indicada, en virtud de: i) </w:t>
      </w:r>
      <w:r w:rsidR="00973B43" w:rsidRPr="00973B43">
        <w:rPr>
          <w:bCs/>
        </w:rPr>
        <w:t>no haber sido remitid</w:t>
      </w:r>
      <w:r w:rsidR="00973B43">
        <w:rPr>
          <w:bCs/>
        </w:rPr>
        <w:t xml:space="preserve">o </w:t>
      </w:r>
      <w:r w:rsidR="00973B43" w:rsidRPr="00973B43">
        <w:rPr>
          <w:bCs/>
        </w:rPr>
        <w:t xml:space="preserve">a este Tribunal a los efectos de la intervención del gasto de las contrataciones con la empresa SEG INGENIERIA SA, </w:t>
      </w:r>
      <w:r w:rsidR="00973B43">
        <w:rPr>
          <w:bCs/>
        </w:rPr>
        <w:t>c</w:t>
      </w:r>
      <w:r w:rsidR="00973B43" w:rsidRPr="00973B43">
        <w:rPr>
          <w:bCs/>
        </w:rPr>
        <w:t>ontravin</w:t>
      </w:r>
      <w:r w:rsidR="00973B43">
        <w:rPr>
          <w:bCs/>
        </w:rPr>
        <w:t>iendo</w:t>
      </w:r>
      <w:r w:rsidR="00973B43" w:rsidRPr="00973B43">
        <w:rPr>
          <w:bCs/>
        </w:rPr>
        <w:t xml:space="preserve"> lo dispuesto por el </w:t>
      </w:r>
      <w:r w:rsidR="00644B75">
        <w:rPr>
          <w:bCs/>
        </w:rPr>
        <w:t>A</w:t>
      </w:r>
      <w:r w:rsidR="00973B43" w:rsidRPr="00973B43">
        <w:rPr>
          <w:bCs/>
        </w:rPr>
        <w:t>rtículo 211 Literal B) de la Constitución de la República</w:t>
      </w:r>
      <w:r w:rsidR="00973B43">
        <w:t xml:space="preserve">; ii) </w:t>
      </w:r>
      <w:r w:rsidR="00973B43" w:rsidRPr="00973B43">
        <w:rPr>
          <w:bCs/>
        </w:rPr>
        <w:t xml:space="preserve">la contratación para el ahorro de consumo de agua potable para los establecimientos penitenciarios, no encuadra en las previsiones del </w:t>
      </w:r>
      <w:r w:rsidR="00644B75">
        <w:rPr>
          <w:bCs/>
        </w:rPr>
        <w:t>A</w:t>
      </w:r>
      <w:r w:rsidR="00973B43" w:rsidRPr="00973B43">
        <w:rPr>
          <w:bCs/>
        </w:rPr>
        <w:t>rtículo 25 de la Ley 18.719, que refiere únicamente a servicios energéticos, o sea referida al ahorro de energía eléctrica</w:t>
      </w:r>
      <w:r w:rsidR="00973B43">
        <w:t xml:space="preserve">; iii) tratándose del pago de servicios contratados a una empresa, no corresponde su imputación a los Grupos 212 y 213, que refieren al suministro de “Servicios Básicos”; y iv) tampoco correspondió que los gastos sean intervenidos por los Contadores Delegados, tal como lo dispone el </w:t>
      </w:r>
      <w:r w:rsidR="00644B75">
        <w:t>A</w:t>
      </w:r>
      <w:r w:rsidR="00973B43">
        <w:t>rt</w:t>
      </w:r>
      <w:r w:rsidR="00644B75">
        <w:t>ículo</w:t>
      </w:r>
      <w:r w:rsidR="00973B43">
        <w:t xml:space="preserve"> 2 de la Ordenanza Nº 72, ya que no se trata de gastos de funcionamiento;</w:t>
      </w:r>
    </w:p>
    <w:p w:rsidR="005A565A" w:rsidRDefault="0093003E" w:rsidP="00644B75">
      <w:pPr>
        <w:tabs>
          <w:tab w:val="left" w:pos="1843"/>
        </w:tabs>
        <w:spacing w:line="360" w:lineRule="auto"/>
        <w:ind w:firstLine="2694"/>
        <w:jc w:val="both"/>
        <w:rPr>
          <w:b/>
          <w:bCs/>
        </w:rPr>
      </w:pPr>
      <w:r>
        <w:rPr>
          <w:b/>
          <w:bCs/>
        </w:rPr>
        <w:t xml:space="preserve"> </w:t>
      </w:r>
      <w:r w:rsidR="00E25043" w:rsidRPr="00E25043">
        <w:rPr>
          <w:b/>
          <w:bCs/>
        </w:rPr>
        <w:t>5)</w:t>
      </w:r>
      <w:r w:rsidR="00E25043">
        <w:rPr>
          <w:bCs/>
        </w:rPr>
        <w:t xml:space="preserve"> que</w:t>
      </w:r>
      <w:r w:rsidR="003A4CE4">
        <w:rPr>
          <w:bCs/>
        </w:rPr>
        <w:t xml:space="preserve"> en esta oportunidad, </w:t>
      </w:r>
      <w:r w:rsidR="007C505A">
        <w:rPr>
          <w:bCs/>
        </w:rPr>
        <w:t>la Auditoría destacada a</w:t>
      </w:r>
      <w:r w:rsidR="00973B43">
        <w:rPr>
          <w:bCs/>
        </w:rPr>
        <w:t xml:space="preserve">nte el Ministerio del Interior remite Resolución de la Dirección General de Secretaría del citado Ministerio, </w:t>
      </w:r>
      <w:r w:rsidR="001B52AD">
        <w:rPr>
          <w:bCs/>
        </w:rPr>
        <w:t>por intermedio de la cual se reiteran los gastos observados</w:t>
      </w:r>
      <w:r w:rsidR="002A314A">
        <w:rPr>
          <w:bCs/>
        </w:rPr>
        <w:t xml:space="preserve">, en virtud de la necesidad </w:t>
      </w:r>
      <w:r w:rsidR="00644B75">
        <w:rPr>
          <w:bCs/>
        </w:rPr>
        <w:t xml:space="preserve">de </w:t>
      </w:r>
      <w:r w:rsidR="002A314A">
        <w:rPr>
          <w:bCs/>
        </w:rPr>
        <w:t>contar con el servicio indicado</w:t>
      </w:r>
      <w:r w:rsidR="003A4CE4">
        <w:t>;</w:t>
      </w:r>
      <w:r w:rsidR="005A565A" w:rsidRPr="005A565A">
        <w:rPr>
          <w:b/>
          <w:bCs/>
        </w:rPr>
        <w:t xml:space="preserve">                               </w:t>
      </w:r>
    </w:p>
    <w:p w:rsidR="003A4CE4" w:rsidRPr="00206BB4" w:rsidRDefault="003A4CE4" w:rsidP="0093003E">
      <w:pPr>
        <w:spacing w:line="360" w:lineRule="auto"/>
        <w:ind w:firstLine="851"/>
        <w:jc w:val="both"/>
        <w:rPr>
          <w:rFonts w:cs="Arial"/>
          <w:color w:val="000000"/>
        </w:rPr>
      </w:pPr>
      <w:r>
        <w:rPr>
          <w:rFonts w:cs="Arial"/>
          <w:b/>
          <w:bCs/>
        </w:rPr>
        <w:t>CONSIDERANDO: 1)</w:t>
      </w:r>
      <w:r w:rsidRPr="00206BB4">
        <w:rPr>
          <w:rFonts w:cs="Arial"/>
          <w:b/>
          <w:bCs/>
          <w:color w:val="000000"/>
        </w:rPr>
        <w:t xml:space="preserve"> </w:t>
      </w:r>
      <w:r w:rsidRPr="00206BB4">
        <w:rPr>
          <w:rFonts w:cs="Arial"/>
          <w:bCs/>
          <w:color w:val="000000"/>
        </w:rPr>
        <w:t xml:space="preserve">que el </w:t>
      </w:r>
      <w:r w:rsidR="00644B75">
        <w:rPr>
          <w:rFonts w:cs="Arial"/>
          <w:bCs/>
          <w:color w:val="000000"/>
        </w:rPr>
        <w:t>A</w:t>
      </w:r>
      <w:r w:rsidRPr="00206BB4">
        <w:rPr>
          <w:rFonts w:cs="Arial"/>
          <w:bCs/>
          <w:color w:val="000000"/>
        </w:rPr>
        <w:t>rt</w:t>
      </w:r>
      <w:r w:rsidR="00644B75">
        <w:rPr>
          <w:rFonts w:cs="Arial"/>
          <w:bCs/>
          <w:color w:val="000000"/>
        </w:rPr>
        <w:t>ículo</w:t>
      </w:r>
      <w:r w:rsidRPr="00206BB4">
        <w:rPr>
          <w:rFonts w:cs="Arial"/>
          <w:bCs/>
          <w:color w:val="000000"/>
        </w:rPr>
        <w:t xml:space="preserve"> 475 de la Ley 17.296, establece que los Ordenadores de gastos o pagos, al ejercer la facultad de insistencia o reiteración que les acuerda el </w:t>
      </w:r>
      <w:r w:rsidR="00644B75">
        <w:rPr>
          <w:rFonts w:cs="Arial"/>
          <w:bCs/>
          <w:color w:val="000000"/>
        </w:rPr>
        <w:t>A</w:t>
      </w:r>
      <w:r w:rsidR="001B52AD">
        <w:rPr>
          <w:rFonts w:cs="Arial"/>
          <w:bCs/>
          <w:color w:val="000000"/>
        </w:rPr>
        <w:t>rt</w:t>
      </w:r>
      <w:r w:rsidR="00644B75">
        <w:rPr>
          <w:rFonts w:cs="Arial"/>
          <w:bCs/>
          <w:color w:val="000000"/>
        </w:rPr>
        <w:t>ículo</w:t>
      </w:r>
      <w:r w:rsidRPr="00206BB4">
        <w:rPr>
          <w:rFonts w:cs="Arial"/>
          <w:bCs/>
          <w:color w:val="000000"/>
        </w:rPr>
        <w:t xml:space="preserve"> 211 </w:t>
      </w:r>
      <w:r w:rsidR="00644B75">
        <w:rPr>
          <w:rFonts w:cs="Arial"/>
          <w:bCs/>
          <w:color w:val="000000"/>
        </w:rPr>
        <w:t>L</w:t>
      </w:r>
      <w:r w:rsidRPr="00206BB4">
        <w:rPr>
          <w:rFonts w:cs="Arial"/>
          <w:bCs/>
          <w:color w:val="000000"/>
        </w:rPr>
        <w:t>iteral B) de la Constitución de la República, deben hacerlo en forma fundada, detallando los motivos que a su juicio justifican seguir el curso del gasto o pago;</w:t>
      </w:r>
    </w:p>
    <w:p w:rsidR="003A4CE4" w:rsidRPr="003A4CE4" w:rsidRDefault="0093003E" w:rsidP="0093003E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  <w:b/>
          <w:bCs/>
          <w:color w:val="000000"/>
        </w:rPr>
        <w:t xml:space="preserve"> </w:t>
      </w:r>
      <w:r w:rsidR="003A4CE4" w:rsidRPr="00206BB4">
        <w:rPr>
          <w:rFonts w:cs="Arial"/>
          <w:b/>
          <w:bCs/>
          <w:color w:val="000000"/>
        </w:rPr>
        <w:t xml:space="preserve">2) </w:t>
      </w:r>
      <w:r w:rsidR="003A4CE4" w:rsidRPr="00206BB4">
        <w:rPr>
          <w:rFonts w:cs="Arial"/>
          <w:bCs/>
          <w:color w:val="000000"/>
        </w:rPr>
        <w:t xml:space="preserve">que el argumento esgrimido por la Administración </w:t>
      </w:r>
      <w:r w:rsidR="003A4CE4" w:rsidRPr="003A4CE4">
        <w:rPr>
          <w:rFonts w:cs="Arial"/>
          <w:bCs/>
          <w:color w:val="000000"/>
        </w:rPr>
        <w:t>refiere a la conveniencia y no a la legalidad</w:t>
      </w:r>
      <w:r w:rsidR="003A4CE4">
        <w:rPr>
          <w:rFonts w:cs="Arial"/>
          <w:bCs/>
          <w:color w:val="000000"/>
        </w:rPr>
        <w:t xml:space="preserve"> del gasto,</w:t>
      </w:r>
      <w:r w:rsidR="003A4CE4" w:rsidRPr="003A4CE4">
        <w:rPr>
          <w:rFonts w:cs="Arial"/>
          <w:bCs/>
          <w:color w:val="000000"/>
        </w:rPr>
        <w:t xml:space="preserve"> por lo tanto no logra modificar los fundamentos expuestos por este Tribunal en </w:t>
      </w:r>
      <w:r w:rsidR="00644B75">
        <w:rPr>
          <w:rFonts w:cs="Arial"/>
          <w:bCs/>
          <w:color w:val="000000"/>
        </w:rPr>
        <w:t>S</w:t>
      </w:r>
      <w:r w:rsidR="003A4CE4" w:rsidRPr="003A4CE4">
        <w:rPr>
          <w:rFonts w:cs="Arial"/>
          <w:bCs/>
          <w:color w:val="000000"/>
        </w:rPr>
        <w:t xml:space="preserve">esión de fecha </w:t>
      </w:r>
      <w:r w:rsidR="003A4CE4">
        <w:rPr>
          <w:rFonts w:cs="Arial"/>
        </w:rPr>
        <w:t>9 de octubre de 2013</w:t>
      </w:r>
      <w:r w:rsidR="003A4CE4" w:rsidRPr="003A4CE4">
        <w:rPr>
          <w:rFonts w:cs="Arial"/>
          <w:spacing w:val="-3"/>
          <w:lang w:val="es-ES_tradnl"/>
        </w:rPr>
        <w:t>;</w:t>
      </w:r>
      <w:r w:rsidR="003A4CE4" w:rsidRPr="003A4CE4">
        <w:rPr>
          <w:rFonts w:cs="Arial"/>
        </w:rPr>
        <w:t xml:space="preserve">                             </w:t>
      </w:r>
    </w:p>
    <w:p w:rsidR="003A4CE4" w:rsidRPr="003A4CE4" w:rsidRDefault="003A4CE4" w:rsidP="0093003E">
      <w:pPr>
        <w:pStyle w:val="Ttulo2"/>
        <w:spacing w:before="0" w:after="0" w:line="360" w:lineRule="auto"/>
        <w:ind w:firstLine="851"/>
        <w:rPr>
          <w:rFonts w:ascii="Arial" w:hAnsi="Arial" w:cs="Arial"/>
          <w:i w:val="0"/>
          <w:sz w:val="24"/>
          <w:szCs w:val="24"/>
        </w:rPr>
      </w:pPr>
      <w:r w:rsidRPr="003A4CE4">
        <w:rPr>
          <w:rFonts w:ascii="Arial" w:hAnsi="Arial" w:cs="Arial"/>
          <w:i w:val="0"/>
          <w:sz w:val="24"/>
          <w:szCs w:val="24"/>
        </w:rPr>
        <w:lastRenderedPageBreak/>
        <w:t>ATENTO</w:t>
      </w:r>
      <w:r w:rsidR="00644B75">
        <w:rPr>
          <w:rFonts w:ascii="Arial" w:hAnsi="Arial" w:cs="Arial"/>
          <w:i w:val="0"/>
          <w:sz w:val="24"/>
          <w:szCs w:val="24"/>
        </w:rPr>
        <w:t xml:space="preserve">: </w:t>
      </w:r>
      <w:r w:rsidRPr="003A4CE4">
        <w:rPr>
          <w:rFonts w:ascii="Arial" w:hAnsi="Arial" w:cs="Arial"/>
          <w:b w:val="0"/>
          <w:bCs w:val="0"/>
          <w:i w:val="0"/>
          <w:sz w:val="24"/>
          <w:szCs w:val="24"/>
        </w:rPr>
        <w:t>a lo expresado;</w:t>
      </w:r>
    </w:p>
    <w:p w:rsidR="003A4CE4" w:rsidRDefault="003A4CE4" w:rsidP="003A4CE4">
      <w:pPr>
        <w:spacing w:line="360" w:lineRule="auto"/>
        <w:ind w:firstLine="70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EL TRIBUNAL ACUERDA</w:t>
      </w:r>
    </w:p>
    <w:p w:rsidR="003A4CE4" w:rsidRDefault="00AD30E5" w:rsidP="00AD30E5">
      <w:pPr>
        <w:spacing w:line="360" w:lineRule="auto"/>
        <w:ind w:left="284" w:hanging="284"/>
        <w:jc w:val="both"/>
        <w:rPr>
          <w:rFonts w:cs="Arial"/>
          <w:b/>
          <w:bCs/>
        </w:rPr>
      </w:pPr>
      <w:r w:rsidRPr="00AD30E5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3A4CE4">
        <w:rPr>
          <w:rFonts w:cs="Arial"/>
        </w:rPr>
        <w:t xml:space="preserve">Mantener la observación formulada </w:t>
      </w:r>
      <w:r w:rsidR="001B52AD">
        <w:rPr>
          <w:rFonts w:cs="Arial"/>
        </w:rPr>
        <w:t xml:space="preserve">por este Tribunal </w:t>
      </w:r>
      <w:r w:rsidR="003A4CE4">
        <w:rPr>
          <w:rFonts w:cs="Arial"/>
        </w:rPr>
        <w:t xml:space="preserve">con fecha </w:t>
      </w:r>
      <w:r w:rsidR="001B52AD">
        <w:rPr>
          <w:rFonts w:cs="Arial"/>
        </w:rPr>
        <w:t xml:space="preserve">18 de </w:t>
      </w:r>
      <w:r>
        <w:rPr>
          <w:rFonts w:cs="Arial"/>
        </w:rPr>
        <w:t xml:space="preserve">   </w:t>
      </w:r>
      <w:r w:rsidR="001B52AD">
        <w:rPr>
          <w:rFonts w:cs="Arial"/>
        </w:rPr>
        <w:t xml:space="preserve">setiembre </w:t>
      </w:r>
      <w:r w:rsidR="003A4CE4">
        <w:rPr>
          <w:rFonts w:cs="Arial"/>
        </w:rPr>
        <w:t>de 2013;</w:t>
      </w:r>
    </w:p>
    <w:p w:rsidR="00275C45" w:rsidRPr="00275C45" w:rsidRDefault="00AD30E5" w:rsidP="00AD30E5">
      <w:pPr>
        <w:spacing w:line="360" w:lineRule="auto"/>
        <w:jc w:val="both"/>
        <w:rPr>
          <w:rFonts w:cs="Arial"/>
        </w:rPr>
      </w:pPr>
      <w:r w:rsidRPr="00AD30E5">
        <w:rPr>
          <w:b/>
        </w:rPr>
        <w:t>2)</w:t>
      </w:r>
      <w:r>
        <w:t xml:space="preserve"> </w:t>
      </w:r>
      <w:r w:rsidR="00275C45">
        <w:t xml:space="preserve">Comunicar al Poder Ejecutivo; </w:t>
      </w:r>
      <w:r w:rsidR="003A4CE4">
        <w:t xml:space="preserve">y </w:t>
      </w:r>
    </w:p>
    <w:p w:rsidR="003A4CE4" w:rsidRPr="00275C45" w:rsidRDefault="00AD30E5" w:rsidP="00AD30E5">
      <w:pPr>
        <w:spacing w:line="360" w:lineRule="auto"/>
        <w:jc w:val="both"/>
        <w:rPr>
          <w:rFonts w:cs="Arial"/>
        </w:rPr>
      </w:pPr>
      <w:r w:rsidRPr="00AD30E5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771E4A">
        <w:rPr>
          <w:rFonts w:cs="Arial"/>
        </w:rPr>
        <w:t>Dar cuenta a la Asamblea General.</w:t>
      </w:r>
    </w:p>
    <w:p w:rsidR="00275C45" w:rsidRDefault="00275C45" w:rsidP="00275C45">
      <w:pPr>
        <w:pStyle w:val="Textoindependiente"/>
        <w:jc w:val="left"/>
        <w:rPr>
          <w:bCs/>
        </w:rPr>
      </w:pPr>
      <w:proofErr w:type="spellStart"/>
      <w:proofErr w:type="gramStart"/>
      <w:r>
        <w:rPr>
          <w:bCs/>
        </w:rPr>
        <w:t>cr</w:t>
      </w:r>
      <w:proofErr w:type="spellEnd"/>
      <w:proofErr w:type="gramEnd"/>
    </w:p>
    <w:sectPr w:rsidR="00275C45" w:rsidSect="00644B75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01299E"/>
    <w:multiLevelType w:val="hybridMultilevel"/>
    <w:tmpl w:val="9342E392"/>
    <w:lvl w:ilvl="0" w:tplc="ECA28E6E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54375AD"/>
    <w:multiLevelType w:val="hybridMultilevel"/>
    <w:tmpl w:val="72A81EA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E00130B"/>
    <w:multiLevelType w:val="hybridMultilevel"/>
    <w:tmpl w:val="E48431BE"/>
    <w:lvl w:ilvl="0" w:tplc="7F5A3C8A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92"/>
    <w:rsid w:val="0004524F"/>
    <w:rsid w:val="00055435"/>
    <w:rsid w:val="000E4A77"/>
    <w:rsid w:val="00163F13"/>
    <w:rsid w:val="00187292"/>
    <w:rsid w:val="001B52AD"/>
    <w:rsid w:val="00266060"/>
    <w:rsid w:val="00275C45"/>
    <w:rsid w:val="002A314A"/>
    <w:rsid w:val="002E4C1A"/>
    <w:rsid w:val="002F1842"/>
    <w:rsid w:val="003A4CE4"/>
    <w:rsid w:val="004B7110"/>
    <w:rsid w:val="004F4B39"/>
    <w:rsid w:val="0050012C"/>
    <w:rsid w:val="005A565A"/>
    <w:rsid w:val="005D2193"/>
    <w:rsid w:val="0062211D"/>
    <w:rsid w:val="00644B75"/>
    <w:rsid w:val="00771E4A"/>
    <w:rsid w:val="007B5FC4"/>
    <w:rsid w:val="007C505A"/>
    <w:rsid w:val="00816399"/>
    <w:rsid w:val="00832018"/>
    <w:rsid w:val="00843352"/>
    <w:rsid w:val="008D5D9C"/>
    <w:rsid w:val="00917C6B"/>
    <w:rsid w:val="0093003E"/>
    <w:rsid w:val="00973B43"/>
    <w:rsid w:val="00A51221"/>
    <w:rsid w:val="00AD30E5"/>
    <w:rsid w:val="00B15DC6"/>
    <w:rsid w:val="00B834E7"/>
    <w:rsid w:val="00BC4477"/>
    <w:rsid w:val="00C777C0"/>
    <w:rsid w:val="00E25043"/>
    <w:rsid w:val="00EA32D3"/>
    <w:rsid w:val="00EA4F46"/>
    <w:rsid w:val="00EC0C30"/>
    <w:rsid w:val="00EE7D68"/>
    <w:rsid w:val="00F04EE8"/>
    <w:rsid w:val="00F633D1"/>
    <w:rsid w:val="00F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C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character" w:customStyle="1" w:styleId="Ttulo2Car">
    <w:name w:val="Título 2 Car"/>
    <w:link w:val="Ttulo2"/>
    <w:uiPriority w:val="9"/>
    <w:semiHidden/>
    <w:rsid w:val="003A4C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AD3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C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character" w:customStyle="1" w:styleId="Ttulo2Car">
    <w:name w:val="Título 2 Car"/>
    <w:link w:val="Ttulo2"/>
    <w:uiPriority w:val="9"/>
    <w:semiHidden/>
    <w:rsid w:val="003A4C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AD3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229332</vt:lpstr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229332</dc:title>
  <dc:subject/>
  <dc:creator>Tribunal1</dc:creator>
  <cp:keywords/>
  <dc:description/>
  <cp:lastModifiedBy> </cp:lastModifiedBy>
  <cp:revision>3</cp:revision>
  <cp:lastPrinted>2013-12-03T15:42:00Z</cp:lastPrinted>
  <dcterms:created xsi:type="dcterms:W3CDTF">2013-12-03T15:42:00Z</dcterms:created>
  <dcterms:modified xsi:type="dcterms:W3CDTF">2014-01-22T13:55:00Z</dcterms:modified>
</cp:coreProperties>
</file>