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55" w:rsidRDefault="009372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937255" w:rsidRDefault="0093725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37255" w:rsidRDefault="009372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37255" w:rsidRDefault="0093725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37255" w:rsidRDefault="009372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 DE NOVIEMBRE 2013</w:t>
      </w:r>
    </w:p>
    <w:p w:rsidR="00937255" w:rsidRDefault="009372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37255" w:rsidRDefault="009372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7388D">
        <w:rPr>
          <w:rFonts w:ascii="Helvetica" w:hAnsi="Helvetica"/>
          <w:b/>
          <w:lang w:val="en-US"/>
        </w:rPr>
        <w:t xml:space="preserve">(E. E. Nº 2013-17-1-0005515, </w:t>
      </w:r>
      <w:proofErr w:type="spellStart"/>
      <w:proofErr w:type="gramStart"/>
      <w:r w:rsidRPr="0077388D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77388D">
        <w:rPr>
          <w:rFonts w:ascii="Helvetica" w:hAnsi="Helvetica"/>
          <w:b/>
          <w:lang w:val="en-US"/>
        </w:rPr>
        <w:t xml:space="preserve">. </w:t>
      </w:r>
      <w:proofErr w:type="gramStart"/>
      <w:r w:rsidRPr="0077388D">
        <w:rPr>
          <w:rFonts w:ascii="Helvetica" w:hAnsi="Helvetica"/>
          <w:b/>
          <w:lang w:val="en-US"/>
        </w:rPr>
        <w:t xml:space="preserve">N° </w:t>
      </w:r>
      <w:proofErr w:type="spellStart"/>
      <w:r w:rsidRPr="0077388D">
        <w:rPr>
          <w:rFonts w:ascii="Helvetica" w:hAnsi="Helvetica"/>
          <w:b/>
          <w:lang w:val="en-US"/>
        </w:rPr>
        <w:t>inic</w:t>
      </w:r>
      <w:proofErr w:type="spellEnd"/>
      <w:r w:rsidRPr="0077388D">
        <w:rPr>
          <w:rFonts w:ascii="Helvetica" w:hAnsi="Helvetica"/>
          <w:b/>
          <w:lang w:val="en-US"/>
        </w:rPr>
        <w:t>.</w:t>
      </w:r>
      <w:proofErr w:type="gramEnd"/>
      <w:r w:rsidRPr="0077388D">
        <w:rPr>
          <w:rFonts w:ascii="Helvetica" w:hAnsi="Helvetica"/>
          <w:b/>
          <w:lang w:val="en-US"/>
        </w:rPr>
        <w:t xml:space="preserve"> </w:t>
      </w:r>
      <w:r>
        <w:rPr>
          <w:rFonts w:ascii="Helvetica" w:hAnsi="Helvetica"/>
          <w:b/>
          <w:lang w:val="es-UY"/>
        </w:rPr>
        <w:t>574/13</w:t>
      </w:r>
      <w:r w:rsidRPr="00937255">
        <w:rPr>
          <w:rFonts w:ascii="Helvetica" w:hAnsi="Helvetica"/>
          <w:b/>
          <w:lang w:val="es-UY"/>
        </w:rPr>
        <w:t>)</w:t>
      </w:r>
    </w:p>
    <w:p w:rsidR="00F13515" w:rsidRPr="00937255" w:rsidRDefault="00F1351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937255" w:rsidRPr="00937255" w:rsidRDefault="00937255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155C81" w:rsidRDefault="00155C81" w:rsidP="0077388D">
      <w:pPr>
        <w:pStyle w:val="Textoindependiente"/>
        <w:spacing w:line="360" w:lineRule="auto"/>
        <w:ind w:firstLine="851"/>
      </w:pPr>
      <w:r>
        <w:rPr>
          <w:b/>
        </w:rPr>
        <w:t>VISTO</w:t>
      </w:r>
      <w:r w:rsidRPr="0077388D">
        <w:rPr>
          <w:b/>
        </w:rPr>
        <w:t>:</w:t>
      </w:r>
      <w:r>
        <w:t xml:space="preserve"> lo dispuesto por la Resolución del Tribunal de Cuentas de fecha </w:t>
      </w:r>
      <w:r w:rsidR="004E6A1C">
        <w:t>18</w:t>
      </w:r>
      <w:r>
        <w:t xml:space="preserve"> de </w:t>
      </w:r>
      <w:r w:rsidR="004E6A1C">
        <w:t>setiembre</w:t>
      </w:r>
      <w:r>
        <w:t xml:space="preserve"> de 201</w:t>
      </w:r>
      <w:r w:rsidR="00192B78">
        <w:t>3</w:t>
      </w:r>
      <w:r>
        <w:t xml:space="preserve">, referida al llamado público para la contratación de </w:t>
      </w:r>
      <w:r w:rsidR="00192B78">
        <w:t>un</w:t>
      </w:r>
      <w:r>
        <w:t xml:space="preserve"> </w:t>
      </w:r>
      <w:r w:rsidR="00520C95">
        <w:t>técnico en informática con experiencia en desarrollo de sistemas con el uso de tecnología JAVA,</w:t>
      </w:r>
      <w:r>
        <w:t xml:space="preserve"> en régimen de función pública;</w:t>
      </w:r>
    </w:p>
    <w:p w:rsidR="00155C81" w:rsidRDefault="00155C81" w:rsidP="0077388D">
      <w:pPr>
        <w:spacing w:line="360" w:lineRule="auto"/>
        <w:ind w:firstLine="851"/>
        <w:jc w:val="both"/>
      </w:pPr>
      <w:r>
        <w:rPr>
          <w:b/>
        </w:rPr>
        <w:t>RESULTANDO</w:t>
      </w:r>
      <w:r w:rsidRPr="0077388D">
        <w:rPr>
          <w:b/>
        </w:rPr>
        <w:t>:</w:t>
      </w:r>
      <w:r>
        <w:t xml:space="preserve"> </w:t>
      </w:r>
      <w:r w:rsidRPr="00387F62">
        <w:rPr>
          <w:b/>
        </w:rPr>
        <w:t>1)</w:t>
      </w:r>
      <w:r>
        <w:t xml:space="preserve"> que por dicha </w:t>
      </w:r>
      <w:r w:rsidR="00C62421">
        <w:t>R</w:t>
      </w:r>
      <w:r>
        <w:t>esolución el Tribunal dispuso los procedimientos necesarios para concretar las contrataciones de referencia, designando una Comisión para llevar a cabo el proceso de selección respectivo;</w:t>
      </w:r>
    </w:p>
    <w:p w:rsidR="00155C81" w:rsidRDefault="00192B78" w:rsidP="0077388D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</w:rPr>
      </w:pPr>
      <w:r>
        <w:rPr>
          <w:b/>
        </w:rPr>
        <w:t>2</w:t>
      </w:r>
      <w:r w:rsidR="00387F62" w:rsidRPr="00387F62">
        <w:rPr>
          <w:b/>
        </w:rPr>
        <w:t>)</w:t>
      </w:r>
      <w:r w:rsidR="00387F62">
        <w:t xml:space="preserve"> </w:t>
      </w:r>
      <w:r w:rsidR="00155C81" w:rsidRPr="00E47E6C">
        <w:rPr>
          <w:rFonts w:cs="Arial"/>
        </w:rPr>
        <w:t xml:space="preserve">que </w:t>
      </w:r>
      <w:r>
        <w:rPr>
          <w:rFonts w:cs="Arial"/>
        </w:rPr>
        <w:t xml:space="preserve">consultada la ONSC sobre la disponibilidad de funcionarios que cumplieran el perfil requerido, </w:t>
      </w:r>
      <w:r w:rsidR="00155C81" w:rsidRPr="00E47E6C">
        <w:rPr>
          <w:rFonts w:cs="Arial"/>
        </w:rPr>
        <w:t xml:space="preserve">con fecha </w:t>
      </w:r>
      <w:r w:rsidR="00CC455A" w:rsidRPr="00937255">
        <w:rPr>
          <w:rFonts w:cs="Arial"/>
        </w:rPr>
        <w:t>2</w:t>
      </w:r>
      <w:r w:rsidR="00155C81" w:rsidRPr="00937255">
        <w:rPr>
          <w:rFonts w:cs="Arial"/>
        </w:rPr>
        <w:t xml:space="preserve"> de </w:t>
      </w:r>
      <w:r w:rsidR="00CC455A" w:rsidRPr="00937255">
        <w:rPr>
          <w:rFonts w:cs="Arial"/>
        </w:rPr>
        <w:t>octubre</w:t>
      </w:r>
      <w:r w:rsidR="00155C81" w:rsidRPr="00937255">
        <w:rPr>
          <w:rFonts w:cs="Arial"/>
        </w:rPr>
        <w:t xml:space="preserve"> de 201</w:t>
      </w:r>
      <w:r w:rsidRPr="00937255">
        <w:rPr>
          <w:rFonts w:cs="Arial"/>
        </w:rPr>
        <w:t>3</w:t>
      </w:r>
      <w:r w:rsidR="00155C81" w:rsidRPr="00E47E6C">
        <w:rPr>
          <w:rFonts w:cs="Arial"/>
        </w:rPr>
        <w:t xml:space="preserve"> se expidió</w:t>
      </w:r>
      <w:r>
        <w:rPr>
          <w:rFonts w:cs="Arial"/>
        </w:rPr>
        <w:t xml:space="preserve"> sobre la negativa de esta disponibilidad y</w:t>
      </w:r>
      <w:r w:rsidR="00DB60A5">
        <w:rPr>
          <w:rFonts w:cs="Arial"/>
        </w:rPr>
        <w:t xml:space="preserve"> en consecuencia</w:t>
      </w:r>
      <w:r>
        <w:rPr>
          <w:rFonts w:cs="Arial"/>
        </w:rPr>
        <w:t xml:space="preserve"> se procedió a publicar</w:t>
      </w:r>
      <w:r w:rsidR="00DB60A5">
        <w:rPr>
          <w:rFonts w:cs="Arial"/>
        </w:rPr>
        <w:t xml:space="preserve"> el llamado</w:t>
      </w:r>
      <w:r>
        <w:rPr>
          <w:rFonts w:cs="Arial"/>
        </w:rPr>
        <w:t xml:space="preserve"> en la página </w:t>
      </w:r>
      <w:r w:rsidR="00155C81">
        <w:rPr>
          <w:rFonts w:cs="Arial"/>
        </w:rPr>
        <w:t>web del Estado</w:t>
      </w:r>
      <w:r>
        <w:rPr>
          <w:rFonts w:cs="Arial"/>
        </w:rPr>
        <w:t>, Uruguay Concursa</w:t>
      </w:r>
      <w:r w:rsidR="00155C81">
        <w:rPr>
          <w:rFonts w:cs="Arial"/>
        </w:rPr>
        <w:t>, en la del Tribunal de Cuentas y en diversos medios de prensa escrita (diario El País, La República</w:t>
      </w:r>
      <w:r w:rsidR="00CC455A">
        <w:rPr>
          <w:rFonts w:cs="Arial"/>
        </w:rPr>
        <w:t xml:space="preserve">, </w:t>
      </w:r>
      <w:r w:rsidR="00155C81">
        <w:rPr>
          <w:rFonts w:cs="Arial"/>
        </w:rPr>
        <w:t>El Observador</w:t>
      </w:r>
      <w:r w:rsidR="00CC455A">
        <w:rPr>
          <w:rFonts w:cs="Arial"/>
        </w:rPr>
        <w:t xml:space="preserve"> y la Diaria</w:t>
      </w:r>
      <w:r w:rsidR="00155C81">
        <w:rPr>
          <w:rFonts w:cs="Arial"/>
        </w:rPr>
        <w:t>);</w:t>
      </w:r>
    </w:p>
    <w:p w:rsidR="004F218A" w:rsidRDefault="00937255" w:rsidP="0077388D">
      <w:pPr>
        <w:autoSpaceDE w:val="0"/>
        <w:autoSpaceDN w:val="0"/>
        <w:adjustRightInd w:val="0"/>
        <w:spacing w:line="360" w:lineRule="auto"/>
        <w:ind w:firstLine="2694"/>
        <w:rPr>
          <w:rFonts w:cs="Arial"/>
        </w:rPr>
      </w:pPr>
      <w:r w:rsidRPr="00937255">
        <w:rPr>
          <w:rFonts w:cs="Arial"/>
          <w:b/>
          <w:bCs/>
          <w:spacing w:val="-6"/>
        </w:rPr>
        <w:t>3</w:t>
      </w:r>
      <w:r w:rsidR="00155C81" w:rsidRPr="00937255">
        <w:rPr>
          <w:rFonts w:cs="Arial"/>
          <w:b/>
          <w:bCs/>
          <w:spacing w:val="-6"/>
        </w:rPr>
        <w:t>)</w:t>
      </w:r>
      <w:r w:rsidR="00155C81" w:rsidRPr="00937255">
        <w:rPr>
          <w:rFonts w:cs="Arial"/>
          <w:bCs/>
          <w:spacing w:val="-6"/>
        </w:rPr>
        <w:t xml:space="preserve"> que el total de postulados </w:t>
      </w:r>
      <w:r w:rsidR="00C62421" w:rsidRPr="00937255">
        <w:rPr>
          <w:rFonts w:cs="Arial"/>
          <w:bCs/>
          <w:spacing w:val="-6"/>
        </w:rPr>
        <w:t>fueron</w:t>
      </w:r>
      <w:r w:rsidR="004F218A" w:rsidRPr="00937255">
        <w:rPr>
          <w:rFonts w:cs="Arial"/>
          <w:bCs/>
          <w:spacing w:val="-6"/>
        </w:rPr>
        <w:t xml:space="preserve"> </w:t>
      </w:r>
      <w:r w:rsidR="001C5B2D" w:rsidRPr="00937255">
        <w:rPr>
          <w:rFonts w:cs="Arial"/>
          <w:bCs/>
          <w:spacing w:val="-6"/>
        </w:rPr>
        <w:t>cuatro</w:t>
      </w:r>
      <w:r w:rsidR="004F218A">
        <w:rPr>
          <w:rFonts w:cs="Arial"/>
          <w:bCs/>
        </w:rPr>
        <w:t xml:space="preserve"> </w:t>
      </w:r>
      <w:r>
        <w:rPr>
          <w:rFonts w:cs="Arial"/>
          <w:bCs/>
        </w:rPr>
        <w:t>p</w:t>
      </w:r>
      <w:r w:rsidR="004F218A">
        <w:rPr>
          <w:rFonts w:cs="Arial"/>
          <w:bCs/>
        </w:rPr>
        <w:t>rofesionales;</w:t>
      </w:r>
    </w:p>
    <w:p w:rsidR="00155C81" w:rsidRDefault="00937255" w:rsidP="0077388D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4</w:t>
      </w:r>
      <w:r w:rsidR="00155C81">
        <w:rPr>
          <w:rFonts w:cs="Arial"/>
          <w:b/>
        </w:rPr>
        <w:t>)</w:t>
      </w:r>
      <w:r w:rsidR="00155C81">
        <w:rPr>
          <w:rFonts w:cs="Arial"/>
        </w:rPr>
        <w:t xml:space="preserve"> que se cumplieron las diferentes etapas de oposición previstas en el proceso de selección: estudio de requisitos eliminatorios, evaluación de méritos y antecedentes, prueba escrita de oposición y entrevistas;</w:t>
      </w:r>
    </w:p>
    <w:p w:rsidR="00155C81" w:rsidRPr="00874B79" w:rsidRDefault="00937255" w:rsidP="0077388D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5</w:t>
      </w:r>
      <w:r w:rsidR="00155C81">
        <w:rPr>
          <w:rFonts w:cs="Arial"/>
          <w:b/>
        </w:rPr>
        <w:t>)</w:t>
      </w:r>
      <w:r w:rsidR="00155C81">
        <w:rPr>
          <w:rFonts w:cs="Arial"/>
        </w:rPr>
        <w:t xml:space="preserve"> </w:t>
      </w:r>
      <w:r w:rsidR="00155C81" w:rsidRPr="00E47E6C">
        <w:rPr>
          <w:rFonts w:cs="Arial"/>
        </w:rPr>
        <w:t xml:space="preserve">que </w:t>
      </w:r>
      <w:r w:rsidR="003D04BD">
        <w:rPr>
          <w:rFonts w:cs="Arial"/>
        </w:rPr>
        <w:t xml:space="preserve">analizados los requisitos excluyentes, solo un postulante cumplió con las exigencias previstas, por lo que no se confeccionó  lista de prelación que tuviera una vigencia </w:t>
      </w:r>
      <w:r w:rsidR="00155C81" w:rsidRPr="00E47E6C">
        <w:rPr>
          <w:rFonts w:cs="Arial"/>
        </w:rPr>
        <w:t>por el plazo de dos años a partir de la fecha de esta resolución</w:t>
      </w:r>
      <w:r w:rsidR="003D04BD">
        <w:rPr>
          <w:rFonts w:cs="Arial"/>
        </w:rPr>
        <w:t>, acuerda número 3)</w:t>
      </w:r>
      <w:r w:rsidR="00155C81" w:rsidRPr="00874B79">
        <w:rPr>
          <w:rFonts w:cs="Arial"/>
        </w:rPr>
        <w:t>;</w:t>
      </w:r>
    </w:p>
    <w:p w:rsidR="00155C81" w:rsidRDefault="00937255" w:rsidP="0077388D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lastRenderedPageBreak/>
        <w:t>6</w:t>
      </w:r>
      <w:r w:rsidR="00155C81">
        <w:rPr>
          <w:rFonts w:cs="Arial"/>
          <w:b/>
        </w:rPr>
        <w:t>)</w:t>
      </w:r>
      <w:r w:rsidR="00155C81">
        <w:rPr>
          <w:rFonts w:cs="Arial"/>
        </w:rPr>
        <w:t xml:space="preserve"> que el Tribunal se propone </w:t>
      </w:r>
      <w:r w:rsidR="004F218A">
        <w:rPr>
          <w:rFonts w:cs="Arial"/>
        </w:rPr>
        <w:t>suscribir un</w:t>
      </w:r>
      <w:r w:rsidR="00155C81">
        <w:rPr>
          <w:rFonts w:cs="Arial"/>
        </w:rPr>
        <w:t xml:space="preserve"> contrato de función pública, </w:t>
      </w:r>
      <w:r w:rsidR="003D04BD">
        <w:rPr>
          <w:rFonts w:cs="Arial"/>
        </w:rPr>
        <w:t>con el único postulante que cumplió con todas las etapas del proceso</w:t>
      </w:r>
      <w:r w:rsidR="004F218A">
        <w:rPr>
          <w:rFonts w:cs="Arial"/>
        </w:rPr>
        <w:t xml:space="preserve">; </w:t>
      </w:r>
    </w:p>
    <w:p w:rsidR="00155C81" w:rsidRDefault="00937255" w:rsidP="0077388D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7</w:t>
      </w:r>
      <w:r w:rsidR="00155C81">
        <w:rPr>
          <w:rFonts w:cs="Arial"/>
          <w:b/>
        </w:rPr>
        <w:t>)</w:t>
      </w:r>
      <w:r w:rsidR="00155C81">
        <w:rPr>
          <w:rFonts w:cs="Arial"/>
        </w:rPr>
        <w:t xml:space="preserve"> que la Contaduría Central se expidió respecto de la disponibilidad de crédito para solventar la referida contratación;  </w:t>
      </w:r>
    </w:p>
    <w:p w:rsidR="00155C81" w:rsidRDefault="00937255" w:rsidP="0077388D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8</w:t>
      </w:r>
      <w:r w:rsidR="00155C81">
        <w:rPr>
          <w:rFonts w:cs="Arial"/>
          <w:b/>
        </w:rPr>
        <w:t>)</w:t>
      </w:r>
      <w:r w:rsidR="00155C81">
        <w:rPr>
          <w:rFonts w:cs="Arial"/>
        </w:rPr>
        <w:t xml:space="preserve"> que de acuerdo con las bases del llamado, es requisito excluyente no tener otro cargo remunerado con la Administración Pública, como condición previa a suscribir el contrato; </w:t>
      </w:r>
    </w:p>
    <w:p w:rsidR="00155C81" w:rsidRDefault="00937255" w:rsidP="0077388D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9</w:t>
      </w:r>
      <w:r w:rsidR="00155C81">
        <w:rPr>
          <w:rFonts w:cs="Arial"/>
          <w:b/>
          <w:bCs/>
        </w:rPr>
        <w:t xml:space="preserve">) </w:t>
      </w:r>
      <w:r w:rsidR="00155C81">
        <w:rPr>
          <w:rFonts w:cs="Arial"/>
        </w:rPr>
        <w:t>que la Comisión de Selección de Personal propone el texto de</w:t>
      </w:r>
      <w:r w:rsidR="00C62421">
        <w:rPr>
          <w:rFonts w:cs="Arial"/>
        </w:rPr>
        <w:t xml:space="preserve"> los</w:t>
      </w:r>
      <w:r w:rsidR="00155C81">
        <w:rPr>
          <w:rFonts w:cs="Arial"/>
        </w:rPr>
        <w:t xml:space="preserve"> contrato</w:t>
      </w:r>
      <w:r w:rsidR="00C62421">
        <w:rPr>
          <w:rFonts w:cs="Arial"/>
        </w:rPr>
        <w:t>s</w:t>
      </w:r>
      <w:r w:rsidR="00155C81">
        <w:rPr>
          <w:rFonts w:cs="Arial"/>
        </w:rPr>
        <w:t xml:space="preserve"> de función pública a suscribir con </w:t>
      </w:r>
      <w:r w:rsidR="004F218A">
        <w:rPr>
          <w:rFonts w:cs="Arial"/>
        </w:rPr>
        <w:t>el</w:t>
      </w:r>
      <w:r w:rsidR="00155C81">
        <w:rPr>
          <w:rFonts w:cs="Arial"/>
        </w:rPr>
        <w:t xml:space="preserve"> postulante</w:t>
      </w:r>
      <w:r w:rsidR="004F218A">
        <w:rPr>
          <w:rFonts w:cs="Arial"/>
        </w:rPr>
        <w:t xml:space="preserve"> </w:t>
      </w:r>
      <w:r w:rsidR="00A56A48">
        <w:rPr>
          <w:rFonts w:cs="Arial"/>
        </w:rPr>
        <w:t>seleccionado</w:t>
      </w:r>
      <w:r w:rsidR="00C62421">
        <w:rPr>
          <w:rFonts w:cs="Arial"/>
        </w:rPr>
        <w:t>;</w:t>
      </w:r>
    </w:p>
    <w:p w:rsidR="00155C81" w:rsidRPr="00874B79" w:rsidRDefault="00155C81" w:rsidP="0077388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 xml:space="preserve">CONSIDERANDO: </w:t>
      </w:r>
      <w:r w:rsidR="00AA2408" w:rsidRPr="00937255">
        <w:rPr>
          <w:rFonts w:cs="Arial"/>
          <w:b/>
          <w:bCs/>
        </w:rPr>
        <w:t>1)</w:t>
      </w:r>
      <w:r w:rsidR="00AA2408" w:rsidRPr="00874B79">
        <w:rPr>
          <w:rFonts w:cs="Arial"/>
          <w:bCs/>
        </w:rPr>
        <w:t xml:space="preserve"> </w:t>
      </w:r>
      <w:r w:rsidRPr="00874B79">
        <w:rPr>
          <w:rFonts w:cs="Arial"/>
        </w:rPr>
        <w:t xml:space="preserve">que de conformidad con lo dispuesto por el </w:t>
      </w:r>
      <w:r w:rsidR="00937255">
        <w:rPr>
          <w:rFonts w:cs="Arial"/>
        </w:rPr>
        <w:t>Artículo 147 de la L</w:t>
      </w:r>
      <w:r w:rsidRPr="00874B79">
        <w:rPr>
          <w:rFonts w:cs="Arial"/>
        </w:rPr>
        <w:t>ey Nº 18.046 el Tribunal de Cuentas podrá aplicar sus créditos presupuestales correspondientes</w:t>
      </w:r>
      <w:r>
        <w:rPr>
          <w:rFonts w:cs="Arial"/>
        </w:rPr>
        <w:t xml:space="preserve"> a cargos vacantes con la finalidad de financiar contratos de función pública;</w:t>
      </w:r>
    </w:p>
    <w:p w:rsidR="005612DA" w:rsidRDefault="004F218A" w:rsidP="00F13515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</w:rPr>
      </w:pPr>
      <w:r>
        <w:rPr>
          <w:rFonts w:cs="Arial"/>
          <w:b/>
          <w:bCs/>
        </w:rPr>
        <w:t>2</w:t>
      </w:r>
      <w:r w:rsidR="00155C81">
        <w:rPr>
          <w:rFonts w:cs="Arial"/>
          <w:b/>
          <w:bCs/>
        </w:rPr>
        <w:t xml:space="preserve">) </w:t>
      </w:r>
      <w:r w:rsidR="00155C81">
        <w:rPr>
          <w:rFonts w:cs="Arial"/>
        </w:rPr>
        <w:t xml:space="preserve">que </w:t>
      </w:r>
      <w:r w:rsidR="00C62421">
        <w:rPr>
          <w:rFonts w:cs="Arial"/>
        </w:rPr>
        <w:t xml:space="preserve">una vez evaluados </w:t>
      </w:r>
      <w:r>
        <w:rPr>
          <w:rFonts w:cs="Arial"/>
        </w:rPr>
        <w:t xml:space="preserve">los requisitos previstos en el llamado, </w:t>
      </w:r>
      <w:r w:rsidR="003D04BD">
        <w:rPr>
          <w:rFonts w:cs="Arial"/>
        </w:rPr>
        <w:t xml:space="preserve">solo un postulante aprobó todas las etapas previstas en el proceso </w:t>
      </w:r>
      <w:r>
        <w:rPr>
          <w:rFonts w:cs="Arial"/>
        </w:rPr>
        <w:t xml:space="preserve">de selección </w:t>
      </w:r>
      <w:proofErr w:type="gramStart"/>
      <w:r>
        <w:rPr>
          <w:rFonts w:cs="Arial"/>
        </w:rPr>
        <w:t>realizados</w:t>
      </w:r>
      <w:proofErr w:type="gramEnd"/>
      <w:r w:rsidR="005612DA">
        <w:rPr>
          <w:rFonts w:cs="Arial"/>
        </w:rPr>
        <w:t xml:space="preserve"> para la contratación de</w:t>
      </w:r>
      <w:r>
        <w:rPr>
          <w:rFonts w:cs="Arial"/>
        </w:rPr>
        <w:t>l</w:t>
      </w:r>
      <w:r w:rsidR="005612DA">
        <w:rPr>
          <w:rFonts w:cs="Arial"/>
        </w:rPr>
        <w:t xml:space="preserve"> </w:t>
      </w:r>
      <w:r w:rsidR="003D04BD">
        <w:rPr>
          <w:rFonts w:cs="Arial"/>
        </w:rPr>
        <w:t>técnico en Informática</w:t>
      </w:r>
      <w:r w:rsidR="005612DA">
        <w:rPr>
          <w:rFonts w:cs="Arial"/>
        </w:rPr>
        <w:t xml:space="preserve"> para </w:t>
      </w:r>
      <w:r>
        <w:rPr>
          <w:rFonts w:cs="Arial"/>
        </w:rPr>
        <w:t>el</w:t>
      </w:r>
      <w:r w:rsidR="005612DA">
        <w:rPr>
          <w:rFonts w:cs="Arial"/>
        </w:rPr>
        <w:t xml:space="preserve"> </w:t>
      </w:r>
      <w:r w:rsidR="003D04BD">
        <w:rPr>
          <w:rFonts w:cs="Arial"/>
        </w:rPr>
        <w:t>Programa de implementación del Sistema Integrado de Control de Auditorias “SICA”</w:t>
      </w:r>
    </w:p>
    <w:p w:rsidR="005612DA" w:rsidRDefault="005612DA" w:rsidP="005612DA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tbl>
      <w:tblPr>
        <w:tblW w:w="7715" w:type="dxa"/>
        <w:tblInd w:w="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1680"/>
        <w:gridCol w:w="4859"/>
      </w:tblGrid>
      <w:tr w:rsidR="003D04BD" w:rsidTr="003D04BD">
        <w:trPr>
          <w:trHeight w:val="5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4BD" w:rsidRPr="00021D80" w:rsidRDefault="003D04BD" w:rsidP="00155C8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1D80">
              <w:rPr>
                <w:rFonts w:cs="Calibri"/>
                <w:b/>
                <w:color w:val="000000"/>
                <w:sz w:val="18"/>
                <w:szCs w:val="18"/>
              </w:rPr>
              <w:t>Numero Inscripción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4BD" w:rsidRPr="00021D80" w:rsidRDefault="003D04BD" w:rsidP="00155C8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1D80">
              <w:rPr>
                <w:rFonts w:cs="Arial"/>
                <w:b/>
                <w:color w:val="000000"/>
                <w:sz w:val="20"/>
                <w:szCs w:val="20"/>
              </w:rPr>
              <w:t>C.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021D80">
              <w:rPr>
                <w:rFonts w:cs="Arial"/>
                <w:b/>
                <w:color w:val="000000"/>
                <w:sz w:val="20"/>
                <w:szCs w:val="20"/>
              </w:rPr>
              <w:t>I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dentidad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4BD" w:rsidRPr="00021D80" w:rsidRDefault="003D04BD" w:rsidP="00155C8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1D80">
              <w:rPr>
                <w:rFonts w:cs="Arial"/>
                <w:b/>
                <w:color w:val="000000"/>
                <w:sz w:val="20"/>
                <w:szCs w:val="20"/>
              </w:rPr>
              <w:t>Nombre</w:t>
            </w:r>
          </w:p>
        </w:tc>
      </w:tr>
      <w:tr w:rsidR="003D04BD" w:rsidTr="003D04BD">
        <w:trPr>
          <w:trHeight w:val="30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04BD" w:rsidRPr="00021D80" w:rsidRDefault="003D04BD" w:rsidP="00155C8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04BD" w:rsidRPr="00021D80" w:rsidRDefault="003D04BD" w:rsidP="003D04B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021D80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485</w:t>
            </w:r>
            <w:r w:rsidRPr="00021D80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712</w:t>
            </w:r>
            <w:r w:rsidRPr="00021D80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04BD" w:rsidRPr="00021D80" w:rsidRDefault="003D04BD" w:rsidP="00DB60A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Gonzalez García, Alvaro Gabriel</w:t>
            </w:r>
          </w:p>
        </w:tc>
      </w:tr>
    </w:tbl>
    <w:p w:rsidR="003263A1" w:rsidRDefault="003263A1" w:rsidP="005612DA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155C81" w:rsidRDefault="004945CD" w:rsidP="00F13515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</w:rPr>
      </w:pPr>
      <w:r>
        <w:rPr>
          <w:rFonts w:cs="Arial"/>
          <w:b/>
          <w:bCs/>
        </w:rPr>
        <w:t>3</w:t>
      </w:r>
      <w:r w:rsidR="00155C81">
        <w:rPr>
          <w:rFonts w:cs="Arial"/>
          <w:b/>
          <w:bCs/>
        </w:rPr>
        <w:t>)</w:t>
      </w:r>
      <w:r w:rsidR="00155C81">
        <w:rPr>
          <w:rFonts w:cs="Arial"/>
        </w:rPr>
        <w:t xml:space="preserve"> que no existen objeciones al modelo de contrato propuesto;</w:t>
      </w:r>
    </w:p>
    <w:p w:rsidR="007E4BC5" w:rsidRDefault="00155C81" w:rsidP="0077388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>a lo precedentemente expuesto;</w:t>
      </w:r>
    </w:p>
    <w:p w:rsidR="007E4BC5" w:rsidRDefault="007E4BC5" w:rsidP="0077388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</w:rPr>
      </w:pPr>
    </w:p>
    <w:p w:rsidR="00155C81" w:rsidRDefault="00155C81" w:rsidP="0077388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155C81" w:rsidRPr="005E5C82" w:rsidRDefault="00155C8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r w:rsidRPr="005E5C82">
        <w:rPr>
          <w:rFonts w:cs="Arial"/>
          <w:b/>
          <w:bCs/>
        </w:rPr>
        <w:lastRenderedPageBreak/>
        <w:t>EL TRIBUNAL ACUERDA</w:t>
      </w:r>
    </w:p>
    <w:p w:rsidR="001C5C95" w:rsidRDefault="001C5C95" w:rsidP="004945CD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cs="Arial"/>
        </w:rPr>
      </w:pPr>
      <w:r>
        <w:rPr>
          <w:rFonts w:cs="Arial"/>
        </w:rPr>
        <w:t>Aprobar el procedimiento de selección llevado a cabo por la Comisión designada</w:t>
      </w:r>
      <w:r w:rsidR="00EA67AA">
        <w:rPr>
          <w:rFonts w:cs="Arial"/>
        </w:rPr>
        <w:t xml:space="preserve"> al efecto;</w:t>
      </w:r>
    </w:p>
    <w:p w:rsidR="00155C81" w:rsidRPr="00EA22B6" w:rsidRDefault="00EA22B6" w:rsidP="004945CD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Celebrar </w:t>
      </w:r>
      <w:r w:rsidRPr="0044499E">
        <w:rPr>
          <w:rFonts w:cs="Arial"/>
        </w:rPr>
        <w:t>contrato de función</w:t>
      </w:r>
      <w:r>
        <w:rPr>
          <w:rFonts w:cs="Arial"/>
        </w:rPr>
        <w:t xml:space="preserve"> pública con  Alvaro Gabriel Gonzalez </w:t>
      </w:r>
      <w:r w:rsidR="00566A99">
        <w:rPr>
          <w:rFonts w:cs="Arial"/>
        </w:rPr>
        <w:t>García</w:t>
      </w:r>
      <w:r>
        <w:rPr>
          <w:rFonts w:cs="Arial"/>
        </w:rPr>
        <w:t xml:space="preserve"> </w:t>
      </w:r>
      <w:r w:rsidR="004945CD">
        <w:rPr>
          <w:rFonts w:cs="Arial"/>
        </w:rPr>
        <w:t>C</w:t>
      </w:r>
      <w:r w:rsidR="00566A99">
        <w:rPr>
          <w:rFonts w:cs="Arial"/>
        </w:rPr>
        <w:t xml:space="preserve">edula de </w:t>
      </w:r>
      <w:r w:rsidR="004945CD">
        <w:rPr>
          <w:rFonts w:cs="Arial"/>
        </w:rPr>
        <w:t>I</w:t>
      </w:r>
      <w:r w:rsidR="00566A99">
        <w:rPr>
          <w:rFonts w:cs="Arial"/>
        </w:rPr>
        <w:t>dentidad N</w:t>
      </w:r>
      <w:r w:rsidR="004945CD">
        <w:rPr>
          <w:rFonts w:cs="Arial"/>
        </w:rPr>
        <w:t>°</w:t>
      </w:r>
      <w:r>
        <w:rPr>
          <w:rFonts w:cs="Arial"/>
        </w:rPr>
        <w:t xml:space="preserve"> 4.485.712-4</w:t>
      </w:r>
      <w:r w:rsidR="004945CD">
        <w:rPr>
          <w:rFonts w:cs="Arial"/>
        </w:rPr>
        <w:t>.</w:t>
      </w:r>
      <w:r>
        <w:rPr>
          <w:rFonts w:cs="Arial"/>
        </w:rPr>
        <w:t xml:space="preserve"> </w:t>
      </w:r>
    </w:p>
    <w:p w:rsidR="00737745" w:rsidRPr="00EA22B6" w:rsidRDefault="00EA67AA" w:rsidP="004945C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3</w:t>
      </w:r>
      <w:r w:rsidR="00155C81">
        <w:rPr>
          <w:rFonts w:cs="Arial"/>
          <w:b/>
          <w:bCs/>
        </w:rPr>
        <w:t>)</w:t>
      </w:r>
      <w:r w:rsidR="00155C81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4945CD">
        <w:rPr>
          <w:rFonts w:cs="Arial"/>
        </w:rPr>
        <w:t xml:space="preserve"> </w:t>
      </w:r>
      <w:r w:rsidR="00155C81">
        <w:rPr>
          <w:rFonts w:cs="Arial"/>
        </w:rPr>
        <w:t xml:space="preserve">Aprobar </w:t>
      </w:r>
      <w:r w:rsidR="00DB60A5">
        <w:rPr>
          <w:rFonts w:cs="Arial"/>
        </w:rPr>
        <w:t>el</w:t>
      </w:r>
      <w:r w:rsidR="00155C81">
        <w:rPr>
          <w:rFonts w:cs="Arial"/>
        </w:rPr>
        <w:t xml:space="preserve"> modelo de contrato</w:t>
      </w:r>
      <w:r w:rsidR="00A56A48">
        <w:rPr>
          <w:rFonts w:cs="Arial"/>
        </w:rPr>
        <w:t xml:space="preserve"> adjunto</w:t>
      </w:r>
      <w:r w:rsidR="00155C81">
        <w:rPr>
          <w:rFonts w:cs="Arial"/>
        </w:rPr>
        <w:t xml:space="preserve"> de función pública a suscribir con </w:t>
      </w:r>
      <w:r w:rsidR="00DB60A5">
        <w:rPr>
          <w:rFonts w:cs="Arial"/>
        </w:rPr>
        <w:t xml:space="preserve">el </w:t>
      </w:r>
      <w:r w:rsidR="00EA22B6">
        <w:rPr>
          <w:rFonts w:cs="Arial"/>
        </w:rPr>
        <w:t xml:space="preserve">postulante seleccionado; </w:t>
      </w:r>
    </w:p>
    <w:p w:rsidR="00155C81" w:rsidRDefault="00EA67AA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  <w:r>
        <w:rPr>
          <w:rFonts w:cs="Arial"/>
          <w:b/>
          <w:bCs/>
        </w:rPr>
        <w:t>4</w:t>
      </w:r>
      <w:r w:rsidR="00155C81">
        <w:rPr>
          <w:rFonts w:cs="Arial"/>
          <w:b/>
          <w:bCs/>
        </w:rPr>
        <w:t xml:space="preserve">) </w:t>
      </w:r>
      <w:r w:rsidR="00155C81">
        <w:rPr>
          <w:rFonts w:cs="Arial"/>
          <w:bCs/>
        </w:rPr>
        <w:t xml:space="preserve">Notifíquese al interesado y publíquese en la página web del Tribunal; </w:t>
      </w:r>
    </w:p>
    <w:p w:rsidR="00155C81" w:rsidRDefault="00EA67AA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  <w:b/>
          <w:bCs/>
        </w:rPr>
        <w:t>5</w:t>
      </w:r>
      <w:r w:rsidR="00155C81">
        <w:rPr>
          <w:rFonts w:cs="Arial"/>
          <w:b/>
          <w:bCs/>
        </w:rPr>
        <w:t xml:space="preserve">) </w:t>
      </w:r>
      <w:r w:rsidR="00155C81">
        <w:rPr>
          <w:rFonts w:cs="Arial"/>
        </w:rPr>
        <w:t>Comunicar lo actuado a la Contaduría General de la Nación y a la Oficina</w:t>
      </w:r>
    </w:p>
    <w:p w:rsidR="00155C81" w:rsidRDefault="004945CD" w:rsidP="004945CD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    </w:t>
      </w:r>
      <w:r w:rsidR="00155C81">
        <w:rPr>
          <w:rFonts w:cs="Arial"/>
        </w:rPr>
        <w:t>Nacional del Servicio Civil</w:t>
      </w:r>
      <w:r w:rsidR="00566A99">
        <w:rPr>
          <w:rFonts w:cs="Arial"/>
        </w:rPr>
        <w:t xml:space="preserve"> a través del RVE </w:t>
      </w:r>
      <w:r w:rsidR="00155C81">
        <w:rPr>
          <w:rFonts w:cs="Arial"/>
        </w:rPr>
        <w:t xml:space="preserve"> y</w:t>
      </w:r>
    </w:p>
    <w:p w:rsidR="00155C81" w:rsidRDefault="00EA67AA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  <w:b/>
          <w:bCs/>
        </w:rPr>
        <w:t>6</w:t>
      </w:r>
      <w:r w:rsidR="00155C81">
        <w:rPr>
          <w:rFonts w:cs="Arial"/>
          <w:b/>
          <w:bCs/>
        </w:rPr>
        <w:t xml:space="preserve">) </w:t>
      </w:r>
      <w:r w:rsidR="00155C81">
        <w:rPr>
          <w:rFonts w:cs="Arial"/>
        </w:rPr>
        <w:t>Pase a División de Apoyo.</w:t>
      </w:r>
    </w:p>
    <w:p w:rsidR="004945CD" w:rsidRDefault="004945CD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</w:p>
    <w:sectPr w:rsidR="004945CD" w:rsidSect="004945CD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DC"/>
    <w:multiLevelType w:val="hybridMultilevel"/>
    <w:tmpl w:val="B42EE780"/>
    <w:lvl w:ilvl="0" w:tplc="E5769A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979C3"/>
    <w:multiLevelType w:val="hybridMultilevel"/>
    <w:tmpl w:val="50100A8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14DC5"/>
    <w:multiLevelType w:val="hybridMultilevel"/>
    <w:tmpl w:val="A8D8D530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50D2D"/>
    <w:multiLevelType w:val="hybridMultilevel"/>
    <w:tmpl w:val="6D76ACCE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B4B75"/>
    <w:multiLevelType w:val="hybridMultilevel"/>
    <w:tmpl w:val="753AB1C6"/>
    <w:lvl w:ilvl="0" w:tplc="8760E9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7804CA"/>
    <w:multiLevelType w:val="hybridMultilevel"/>
    <w:tmpl w:val="553EB6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97FEE"/>
    <w:multiLevelType w:val="hybridMultilevel"/>
    <w:tmpl w:val="63B0BC1C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754D0"/>
    <w:multiLevelType w:val="hybridMultilevel"/>
    <w:tmpl w:val="EBB28C5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B0EC7"/>
    <w:multiLevelType w:val="hybridMultilevel"/>
    <w:tmpl w:val="5156E5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421"/>
    <w:rsid w:val="000103C1"/>
    <w:rsid w:val="00021D80"/>
    <w:rsid w:val="000330A1"/>
    <w:rsid w:val="000933CE"/>
    <w:rsid w:val="00155C81"/>
    <w:rsid w:val="00192B78"/>
    <w:rsid w:val="001A046C"/>
    <w:rsid w:val="001A0F7D"/>
    <w:rsid w:val="001C5B2D"/>
    <w:rsid w:val="001C5C95"/>
    <w:rsid w:val="00222C3A"/>
    <w:rsid w:val="003263A1"/>
    <w:rsid w:val="00354083"/>
    <w:rsid w:val="00387F62"/>
    <w:rsid w:val="003D04BD"/>
    <w:rsid w:val="0044499E"/>
    <w:rsid w:val="00491229"/>
    <w:rsid w:val="004945CD"/>
    <w:rsid w:val="004E6A1C"/>
    <w:rsid w:val="004F218A"/>
    <w:rsid w:val="004F2F5E"/>
    <w:rsid w:val="00520C95"/>
    <w:rsid w:val="005612DA"/>
    <w:rsid w:val="00566A99"/>
    <w:rsid w:val="00591EB0"/>
    <w:rsid w:val="005E5C82"/>
    <w:rsid w:val="00660EB9"/>
    <w:rsid w:val="00737745"/>
    <w:rsid w:val="0074567A"/>
    <w:rsid w:val="0077388D"/>
    <w:rsid w:val="007E4BC5"/>
    <w:rsid w:val="00874B79"/>
    <w:rsid w:val="00937255"/>
    <w:rsid w:val="00A56A48"/>
    <w:rsid w:val="00A61E73"/>
    <w:rsid w:val="00AA2408"/>
    <w:rsid w:val="00C62421"/>
    <w:rsid w:val="00C81559"/>
    <w:rsid w:val="00CC455A"/>
    <w:rsid w:val="00D1337E"/>
    <w:rsid w:val="00D16AD3"/>
    <w:rsid w:val="00D84713"/>
    <w:rsid w:val="00DB60A5"/>
    <w:rsid w:val="00E47E6C"/>
    <w:rsid w:val="00EA22B6"/>
    <w:rsid w:val="00EA67AA"/>
    <w:rsid w:val="00EC70CB"/>
    <w:rsid w:val="00F13515"/>
    <w:rsid w:val="00F76BE2"/>
    <w:rsid w:val="00F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</w:style>
  <w:style w:type="table" w:styleId="Tablaconcuadrcula">
    <w:name w:val="Table Grid"/>
    <w:basedOn w:val="Tablanormal"/>
    <w:uiPriority w:val="59"/>
    <w:rsid w:val="00C624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</vt:lpstr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</dc:title>
  <dc:subject/>
  <dc:creator>tribunal1</dc:creator>
  <cp:keywords/>
  <dc:description/>
  <cp:lastModifiedBy> </cp:lastModifiedBy>
  <cp:revision>4</cp:revision>
  <cp:lastPrinted>2013-11-22T13:28:00Z</cp:lastPrinted>
  <dcterms:created xsi:type="dcterms:W3CDTF">2013-11-22T13:28:00Z</dcterms:created>
  <dcterms:modified xsi:type="dcterms:W3CDTF">2014-01-22T12:47:00Z</dcterms:modified>
</cp:coreProperties>
</file>