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422" w:rsidRPr="00150422" w:rsidRDefault="00150422" w:rsidP="00150422">
      <w:pPr>
        <w:tabs>
          <w:tab w:val="center" w:pos="4253"/>
        </w:tabs>
        <w:suppressAutoHyphens/>
        <w:spacing w:after="0" w:line="240" w:lineRule="auto"/>
        <w:jc w:val="center"/>
        <w:rPr>
          <w:rFonts w:cs="Arial"/>
          <w:b/>
          <w:lang w:val="es-ES_tradnl"/>
        </w:rPr>
      </w:pPr>
      <w:bookmarkStart w:id="0" w:name="_GoBack"/>
      <w:bookmarkEnd w:id="0"/>
      <w:r w:rsidRPr="00150422">
        <w:rPr>
          <w:rFonts w:cs="Arial"/>
          <w:b/>
          <w:lang w:val="es-ES_tradnl"/>
        </w:rPr>
        <w:t>RESOLUCION ADOPTADA POR EL</w:t>
      </w:r>
    </w:p>
    <w:p w:rsidR="00150422" w:rsidRPr="00150422" w:rsidRDefault="00150422" w:rsidP="00150422">
      <w:pPr>
        <w:tabs>
          <w:tab w:val="left" w:pos="-720"/>
        </w:tabs>
        <w:suppressAutoHyphens/>
        <w:spacing w:after="0" w:line="240" w:lineRule="auto"/>
        <w:jc w:val="center"/>
        <w:rPr>
          <w:rFonts w:cs="Arial"/>
          <w:b/>
          <w:lang w:val="es-ES_tradnl"/>
        </w:rPr>
      </w:pPr>
    </w:p>
    <w:p w:rsidR="00150422" w:rsidRPr="00150422" w:rsidRDefault="00150422" w:rsidP="00150422">
      <w:pPr>
        <w:tabs>
          <w:tab w:val="center" w:pos="4253"/>
        </w:tabs>
        <w:suppressAutoHyphens/>
        <w:spacing w:after="0" w:line="240" w:lineRule="auto"/>
        <w:jc w:val="center"/>
        <w:rPr>
          <w:rFonts w:cs="Arial"/>
          <w:b/>
          <w:lang w:val="es-ES_tradnl"/>
        </w:rPr>
      </w:pPr>
      <w:r w:rsidRPr="00150422">
        <w:rPr>
          <w:rFonts w:cs="Arial"/>
          <w:b/>
          <w:lang w:val="es-ES_tradnl"/>
        </w:rPr>
        <w:t>TRIBUNAL DE CUENTAS</w:t>
      </w:r>
    </w:p>
    <w:p w:rsidR="00150422" w:rsidRPr="00150422" w:rsidRDefault="00150422" w:rsidP="00150422">
      <w:pPr>
        <w:tabs>
          <w:tab w:val="left" w:pos="-720"/>
        </w:tabs>
        <w:suppressAutoHyphens/>
        <w:spacing w:after="0" w:line="240" w:lineRule="auto"/>
        <w:jc w:val="center"/>
        <w:rPr>
          <w:rFonts w:cs="Arial"/>
          <w:b/>
          <w:lang w:val="es-ES_tradnl"/>
        </w:rPr>
      </w:pPr>
    </w:p>
    <w:p w:rsidR="00150422" w:rsidRPr="00150422" w:rsidRDefault="00150422" w:rsidP="00150422">
      <w:pPr>
        <w:tabs>
          <w:tab w:val="center" w:pos="4253"/>
        </w:tabs>
        <w:suppressAutoHyphens/>
        <w:spacing w:after="0" w:line="240" w:lineRule="auto"/>
        <w:jc w:val="center"/>
        <w:rPr>
          <w:rFonts w:cs="Arial"/>
          <w:b/>
          <w:lang w:val="es-ES_tradnl"/>
        </w:rPr>
      </w:pPr>
      <w:r w:rsidRPr="00150422">
        <w:rPr>
          <w:rFonts w:cs="Arial"/>
          <w:b/>
          <w:lang w:val="es-ES_tradnl"/>
        </w:rPr>
        <w:t>EN SESION DE FECHA 20 DE NOVIEMBRE 2013</w:t>
      </w:r>
    </w:p>
    <w:p w:rsidR="00150422" w:rsidRPr="00150422" w:rsidRDefault="00150422" w:rsidP="00150422">
      <w:pPr>
        <w:tabs>
          <w:tab w:val="center" w:pos="4253"/>
        </w:tabs>
        <w:suppressAutoHyphens/>
        <w:spacing w:after="0" w:line="240" w:lineRule="auto"/>
        <w:jc w:val="center"/>
        <w:rPr>
          <w:rFonts w:cs="Arial"/>
          <w:b/>
          <w:lang w:val="es-ES_tradnl"/>
        </w:rPr>
      </w:pPr>
    </w:p>
    <w:p w:rsidR="00150422" w:rsidRDefault="00150422" w:rsidP="00150422">
      <w:pPr>
        <w:tabs>
          <w:tab w:val="center" w:pos="4253"/>
        </w:tabs>
        <w:suppressAutoHyphens/>
        <w:spacing w:after="0" w:line="240" w:lineRule="auto"/>
        <w:jc w:val="center"/>
        <w:rPr>
          <w:rFonts w:cs="Arial"/>
          <w:b/>
        </w:rPr>
      </w:pPr>
      <w:r w:rsidRPr="00150422">
        <w:rPr>
          <w:rFonts w:cs="Arial"/>
          <w:b/>
        </w:rPr>
        <w:t xml:space="preserve">(E. E. Nº 2013-17-1-0004000, </w:t>
      </w:r>
      <w:proofErr w:type="spellStart"/>
      <w:r w:rsidRPr="00150422">
        <w:rPr>
          <w:rFonts w:cs="Arial"/>
          <w:b/>
        </w:rPr>
        <w:t>Ent</w:t>
      </w:r>
      <w:proofErr w:type="spellEnd"/>
      <w:r w:rsidRPr="00150422">
        <w:rPr>
          <w:rFonts w:cs="Arial"/>
          <w:b/>
        </w:rPr>
        <w:t xml:space="preserve">. N° 3522/13 </w:t>
      </w:r>
      <w:r w:rsidR="00A71BC2">
        <w:rPr>
          <w:rFonts w:cs="Arial"/>
          <w:b/>
        </w:rPr>
        <w:t>y</w:t>
      </w:r>
      <w:r w:rsidRPr="00150422">
        <w:rPr>
          <w:rFonts w:cs="Arial"/>
          <w:b/>
        </w:rPr>
        <w:t xml:space="preserve"> 5339/13)</w:t>
      </w:r>
    </w:p>
    <w:p w:rsidR="00A71BC2" w:rsidRPr="00150422" w:rsidRDefault="00A71BC2" w:rsidP="00150422">
      <w:pPr>
        <w:tabs>
          <w:tab w:val="center" w:pos="4253"/>
        </w:tabs>
        <w:suppressAutoHyphens/>
        <w:spacing w:after="0" w:line="240" w:lineRule="auto"/>
        <w:jc w:val="center"/>
        <w:rPr>
          <w:rFonts w:cs="Arial"/>
          <w:b/>
        </w:rPr>
      </w:pPr>
    </w:p>
    <w:p w:rsidR="00150422" w:rsidRDefault="00150422" w:rsidP="00150422">
      <w:pPr>
        <w:spacing w:after="0" w:line="360" w:lineRule="auto"/>
        <w:ind w:firstLine="708"/>
        <w:rPr>
          <w:b/>
        </w:rPr>
      </w:pPr>
    </w:p>
    <w:p w:rsidR="003F3BDF" w:rsidRDefault="003F3BDF" w:rsidP="00A71BC2">
      <w:pPr>
        <w:spacing w:after="0" w:line="360" w:lineRule="auto"/>
        <w:ind w:firstLine="851"/>
      </w:pPr>
      <w:r>
        <w:rPr>
          <w:b/>
        </w:rPr>
        <w:t>VISTO:</w:t>
      </w:r>
      <w:r>
        <w:t xml:space="preserve"> que este Tribunal ha examinado la Rendición de Cuentas y Balance de Ejecución Presupuestal de la Intendencia de Paysandú correspondiente al ejercicio 2012;</w:t>
      </w:r>
    </w:p>
    <w:p w:rsidR="003F3BDF" w:rsidRDefault="003F3BDF" w:rsidP="00A71BC2">
      <w:pPr>
        <w:spacing w:after="0" w:line="360" w:lineRule="auto"/>
        <w:ind w:firstLine="851"/>
      </w:pPr>
      <w:r>
        <w:rPr>
          <w:b/>
        </w:rPr>
        <w:t xml:space="preserve">RESULTANDO: </w:t>
      </w:r>
      <w:r>
        <w:t>que el examen se efectuó de acuerdo con Normas de Auditoría emitidas por la Organización Internacional de Entidades Fiscalizadoras Superiores (INTOSAI);</w:t>
      </w:r>
    </w:p>
    <w:p w:rsidR="003F3BDF" w:rsidRDefault="003F3BDF" w:rsidP="00A71BC2">
      <w:pPr>
        <w:spacing w:after="0" w:line="360" w:lineRule="auto"/>
        <w:ind w:firstLine="851"/>
      </w:pPr>
      <w:r>
        <w:rPr>
          <w:b/>
        </w:rPr>
        <w:t xml:space="preserve">CONSIDERANDO: </w:t>
      </w:r>
      <w:r>
        <w:t>que las conclusiones y evidencias obtenidas son las que se expresan en el Informe de Auditoría que incluye Dictamen e Informe a la Administración;</w:t>
      </w:r>
    </w:p>
    <w:p w:rsidR="003F3BDF" w:rsidRDefault="003F3BDF" w:rsidP="00A71BC2">
      <w:pPr>
        <w:spacing w:after="0" w:line="360" w:lineRule="auto"/>
        <w:ind w:firstLine="851"/>
      </w:pPr>
      <w:r>
        <w:rPr>
          <w:b/>
        </w:rPr>
        <w:t xml:space="preserve">ATENTO: </w:t>
      </w:r>
      <w:r>
        <w:t>a lo dispuesto por el Art</w:t>
      </w:r>
      <w:r w:rsidR="00150422">
        <w:t>ículo</w:t>
      </w:r>
      <w:r>
        <w:t xml:space="preserve"> 211 Lit</w:t>
      </w:r>
      <w:r w:rsidR="00150422">
        <w:t>eral</w:t>
      </w:r>
      <w:r>
        <w:t xml:space="preserve"> C) de la Constitución de la República;</w:t>
      </w:r>
    </w:p>
    <w:p w:rsidR="003F3BDF" w:rsidRDefault="003F3BDF" w:rsidP="00E608DF">
      <w:pPr>
        <w:pStyle w:val="Ttulo4"/>
        <w:spacing w:line="360" w:lineRule="auto"/>
        <w:jc w:val="center"/>
        <w:rPr>
          <w:b/>
          <w:bCs/>
        </w:rPr>
      </w:pPr>
      <w:r>
        <w:rPr>
          <w:b/>
          <w:bCs/>
        </w:rPr>
        <w:t>EL TRIBUNAL ACUERDA</w:t>
      </w:r>
    </w:p>
    <w:p w:rsidR="003F3BDF" w:rsidRDefault="00150422" w:rsidP="00150422">
      <w:pPr>
        <w:spacing w:after="0" w:line="360" w:lineRule="auto"/>
        <w:ind w:left="284" w:hanging="284"/>
      </w:pPr>
      <w:r w:rsidRPr="00150422">
        <w:rPr>
          <w:b/>
          <w:lang w:val="es-ES_tradnl"/>
        </w:rPr>
        <w:t>1)</w:t>
      </w:r>
      <w:r>
        <w:rPr>
          <w:b/>
          <w:lang w:val="es-ES_tradnl"/>
        </w:rPr>
        <w:t xml:space="preserve"> </w:t>
      </w:r>
      <w:r w:rsidR="003F3BDF">
        <w:t>Emitir su dictamen constitucional respecto a la Rendición de Cuentas y Balance de Ejecución Presupuestal de la Intendencia de Paysandú correspondiente al Ejercicio 2012, en los térm</w:t>
      </w:r>
      <w:r w:rsidR="00A71BC2">
        <w:t>inos del Informe que se adjunta;</w:t>
      </w:r>
    </w:p>
    <w:p w:rsidR="003F3BDF" w:rsidRDefault="00150422" w:rsidP="00150422">
      <w:pPr>
        <w:spacing w:after="0" w:line="360" w:lineRule="auto"/>
        <w:ind w:left="284" w:hanging="284"/>
      </w:pPr>
      <w:r w:rsidRPr="00150422">
        <w:rPr>
          <w:b/>
        </w:rPr>
        <w:t>2)</w:t>
      </w:r>
      <w:r>
        <w:t xml:space="preserve"> </w:t>
      </w:r>
      <w:r w:rsidR="003F3BDF">
        <w:t>Comunicar la presente Resolución a la Junta Departamental, a la Intendencia de Pays</w:t>
      </w:r>
      <w:r w:rsidR="00A71BC2">
        <w:t>andú y  a la Contadora Delegada;</w:t>
      </w:r>
    </w:p>
    <w:p w:rsidR="003F3BDF" w:rsidRDefault="00150422" w:rsidP="00150422">
      <w:pPr>
        <w:spacing w:after="0" w:line="360" w:lineRule="auto"/>
      </w:pPr>
      <w:r w:rsidRPr="00150422">
        <w:rPr>
          <w:b/>
        </w:rPr>
        <w:t>3)</w:t>
      </w:r>
      <w:r>
        <w:t xml:space="preserve"> </w:t>
      </w:r>
      <w:r w:rsidR="003F3BDF">
        <w:t xml:space="preserve">Oficiar a </w:t>
      </w:r>
      <w:r w:rsidR="00A71BC2">
        <w:t>la Dirección General Impositiva;</w:t>
      </w:r>
    </w:p>
    <w:p w:rsidR="003F3BDF" w:rsidRDefault="00150422" w:rsidP="00150422">
      <w:pPr>
        <w:spacing w:after="0" w:line="360" w:lineRule="auto"/>
      </w:pPr>
      <w:r w:rsidRPr="00150422">
        <w:rPr>
          <w:b/>
        </w:rPr>
        <w:t>4)</w:t>
      </w:r>
      <w:r>
        <w:t xml:space="preserve"> </w:t>
      </w:r>
      <w:r w:rsidR="003F3BDF">
        <w:t>Dar cuenta a la Asamblea General.</w:t>
      </w:r>
    </w:p>
    <w:p w:rsidR="00150422" w:rsidRDefault="00150422" w:rsidP="00150422">
      <w:pPr>
        <w:spacing w:after="0" w:line="360" w:lineRule="auto"/>
      </w:pPr>
    </w:p>
    <w:p w:rsidR="00A71BC2" w:rsidRDefault="00A71BC2" w:rsidP="00150422">
      <w:pPr>
        <w:spacing w:after="0" w:line="360" w:lineRule="auto"/>
      </w:pPr>
    </w:p>
    <w:p w:rsidR="00A71BC2" w:rsidRDefault="00A71BC2" w:rsidP="00150422">
      <w:pPr>
        <w:spacing w:after="0" w:line="360" w:lineRule="auto"/>
      </w:pPr>
    </w:p>
    <w:p w:rsidR="00A71BC2" w:rsidRDefault="00A71BC2" w:rsidP="00A71BC2">
      <w:pPr>
        <w:pStyle w:val="Ttulo1"/>
        <w:jc w:val="center"/>
        <w:rPr>
          <w:rFonts w:cs="Arial"/>
        </w:rPr>
      </w:pPr>
      <w:bookmarkStart w:id="1" w:name="_Toc271807410"/>
      <w:bookmarkStart w:id="2" w:name="_Toc343587252"/>
      <w:bookmarkStart w:id="3" w:name="_Toc371950519"/>
      <w:bookmarkStart w:id="4" w:name="_Toc114298584"/>
      <w:r>
        <w:rPr>
          <w:rFonts w:cs="Arial"/>
        </w:rPr>
        <w:lastRenderedPageBreak/>
        <w:t>DICTAMEN</w:t>
      </w:r>
      <w:bookmarkEnd w:id="1"/>
      <w:bookmarkEnd w:id="2"/>
      <w:bookmarkEnd w:id="3"/>
    </w:p>
    <w:p w:rsidR="00A71BC2" w:rsidRDefault="00A71BC2" w:rsidP="00A71BC2">
      <w:pPr>
        <w:pStyle w:val="Subttulo"/>
        <w:rPr>
          <w:rFonts w:ascii="Arial" w:hAnsi="Arial" w:cs="Arial"/>
          <w:b w:val="0"/>
        </w:rPr>
      </w:pPr>
      <w:r>
        <w:rPr>
          <w:rFonts w:ascii="Arial" w:hAnsi="Arial" w:cs="Arial"/>
          <w:b w:val="0"/>
        </w:rPr>
        <w:t xml:space="preserve">El Tribunal de Cuentas ha examinado la Rendición de Cuentas y el Balance de Ejecución Presupuestal de la Intendencia de Paysandú correspondiente al Ejercicio 2012, que incluye los siguientes estados: de ejecución presupuestal con relación a los recursos, de ejecución presupuestal con relación a los créditos, de evolución de las obligaciones presupuestales impagas, de fondos indisponibles y otros estados complementarios. </w:t>
      </w:r>
    </w:p>
    <w:p w:rsidR="00BD2211" w:rsidRDefault="00A71BC2" w:rsidP="00A71BC2">
      <w:pPr>
        <w:pStyle w:val="Subttulo"/>
        <w:rPr>
          <w:rFonts w:ascii="Arial" w:hAnsi="Arial" w:cs="Arial"/>
          <w:b w:val="0"/>
        </w:rPr>
      </w:pPr>
      <w:r>
        <w:rPr>
          <w:rFonts w:ascii="Arial" w:hAnsi="Arial" w:cs="Arial"/>
          <w:b w:val="0"/>
        </w:rPr>
        <w:t>El Tribunal de Cuentas también ha auditado el cumplimiento por parte de la Intendencia de la normativa vigente.</w:t>
      </w:r>
    </w:p>
    <w:p w:rsidR="00A71BC2" w:rsidRDefault="00A71BC2" w:rsidP="00A71BC2">
      <w:pPr>
        <w:pStyle w:val="Subttulo"/>
        <w:rPr>
          <w:rFonts w:ascii="Arial" w:hAnsi="Arial" w:cs="Arial"/>
        </w:rPr>
      </w:pPr>
      <w:r>
        <w:rPr>
          <w:rFonts w:ascii="Arial" w:hAnsi="Arial" w:cs="Arial"/>
        </w:rPr>
        <w:t>Responsabilidad de la Intendencia</w:t>
      </w:r>
    </w:p>
    <w:p w:rsidR="00BD2211" w:rsidRDefault="00A71BC2" w:rsidP="00A71BC2">
      <w:pPr>
        <w:pStyle w:val="Subttulo"/>
        <w:rPr>
          <w:rFonts w:ascii="Arial" w:hAnsi="Arial" w:cs="Arial"/>
          <w:b w:val="0"/>
        </w:rPr>
      </w:pPr>
      <w:r>
        <w:rPr>
          <w:rFonts w:ascii="Arial" w:hAnsi="Arial" w:cs="Arial"/>
          <w:b w:val="0"/>
        </w:rPr>
        <w:t>La Intendencia es responsable por la preparación y la razonable presentación de estos estados de acuerdo con la normativa vigente y con la Resolución de este Tribunal de fecha 28 de enero de 2004. Esta responsabilidad incluye diseñar, implementar y mantener un sistema de control interno adecuado para la preparación y presentación razonable de estos estados que estén libres de errores significativos, ya sea debido a fraude o error, seleccionar y aplicar políticas contables apropiadas.</w:t>
      </w:r>
    </w:p>
    <w:p w:rsidR="00A71BC2" w:rsidRDefault="00A71BC2" w:rsidP="00A71BC2">
      <w:pPr>
        <w:pStyle w:val="Subttulo"/>
        <w:rPr>
          <w:rFonts w:ascii="Arial" w:hAnsi="Arial" w:cs="Arial"/>
        </w:rPr>
      </w:pPr>
      <w:r>
        <w:rPr>
          <w:rFonts w:ascii="Arial" w:hAnsi="Arial" w:cs="Arial"/>
        </w:rPr>
        <w:t>Responsabilidad del Auditor</w:t>
      </w:r>
    </w:p>
    <w:p w:rsidR="00A71BC2" w:rsidRDefault="00A71BC2" w:rsidP="00A71BC2">
      <w:pPr>
        <w:pStyle w:val="Subttulo"/>
        <w:rPr>
          <w:rFonts w:ascii="Arial" w:hAnsi="Arial" w:cs="Arial"/>
          <w:b w:val="0"/>
        </w:rPr>
      </w:pPr>
      <w:r>
        <w:rPr>
          <w:rFonts w:ascii="Arial" w:hAnsi="Arial" w:cs="Arial"/>
          <w:b w:val="0"/>
        </w:rPr>
        <w:t xml:space="preserve">La responsabilidad del Tribunal de Cuentas es expresar una opinión sobre dichos estados contables basada en la auditoría realizada. El examen fue realizado de acuerdo con los Principios Fundamentales de Auditoria (ISSAI 100, 200, 300 y 400) y las Directrices de Auditoria Financiera (ISSAI 1000 a 2999) de la Organización Internacional de Entidades Fiscalizadoras Superiores (INTOSAI), excepto por lo señalado en el párrafo “Bases para la abstención de opinión”. Esas normas requieren que se planifique y se realice la auditoría para obtener seguridad razonable acerca de si los estados contables están libres de errores significativos. </w:t>
      </w:r>
    </w:p>
    <w:p w:rsidR="00A71BC2" w:rsidRDefault="00A71BC2" w:rsidP="00A71BC2">
      <w:pPr>
        <w:pStyle w:val="Subttulo"/>
        <w:rPr>
          <w:rFonts w:ascii="Arial" w:hAnsi="Arial" w:cs="Arial"/>
          <w:b w:val="0"/>
        </w:rPr>
      </w:pPr>
      <w:r>
        <w:rPr>
          <w:rFonts w:ascii="Arial" w:hAnsi="Arial" w:cs="Arial"/>
          <w:b w:val="0"/>
        </w:rPr>
        <w:lastRenderedPageBreak/>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A71BC2" w:rsidRDefault="00A71BC2" w:rsidP="00A71BC2">
      <w:pPr>
        <w:pStyle w:val="Subttulo"/>
        <w:rPr>
          <w:rFonts w:ascii="Arial" w:hAnsi="Arial" w:cs="Arial"/>
        </w:rPr>
      </w:pPr>
      <w:r>
        <w:rPr>
          <w:rFonts w:ascii="Arial" w:hAnsi="Arial" w:cs="Arial"/>
        </w:rPr>
        <w:t>Bases para la abstención de opinión</w:t>
      </w:r>
    </w:p>
    <w:p w:rsidR="00A71BC2" w:rsidRDefault="00A71BC2" w:rsidP="00A71BC2">
      <w:pPr>
        <w:pStyle w:val="Textoindependiente"/>
        <w:spacing w:after="0" w:line="360" w:lineRule="auto"/>
        <w:rPr>
          <w:rFonts w:cs="Arial"/>
          <w:lang w:val="es-ES"/>
        </w:rPr>
      </w:pPr>
      <w:r w:rsidRPr="00BD2211">
        <w:rPr>
          <w:rFonts w:cs="Arial"/>
          <w:b/>
          <w:lang w:val="es-ES"/>
        </w:rPr>
        <w:t>1)</w:t>
      </w:r>
      <w:r>
        <w:rPr>
          <w:rFonts w:cs="Arial"/>
          <w:lang w:val="es-ES"/>
        </w:rPr>
        <w:t xml:space="preserve"> </w:t>
      </w:r>
      <w:r>
        <w:rPr>
          <w:rFonts w:cs="Arial"/>
        </w:rPr>
        <w:t xml:space="preserve">No se ha podido verificar el Resultado Acumulado al 31/12/12 a partir de la suma del Resultado Acumulado al 31/12/11 más el Resultado del Ejercicio 2012, situación que se mantiene desde ejercicios anteriores. </w:t>
      </w:r>
    </w:p>
    <w:p w:rsidR="00A71BC2" w:rsidRDefault="00A71BC2" w:rsidP="00A71BC2">
      <w:pPr>
        <w:pStyle w:val="Textoindependiente"/>
        <w:spacing w:after="0" w:line="360" w:lineRule="auto"/>
        <w:rPr>
          <w:rFonts w:cs="Arial"/>
        </w:rPr>
      </w:pPr>
      <w:r w:rsidRPr="00BD2211">
        <w:rPr>
          <w:rFonts w:cs="Arial"/>
          <w:b/>
          <w:lang w:val="es-ES"/>
        </w:rPr>
        <w:t>2)</w:t>
      </w:r>
      <w:r>
        <w:rPr>
          <w:rFonts w:cs="Arial"/>
          <w:lang w:val="es-ES"/>
        </w:rPr>
        <w:t xml:space="preserve"> E</w:t>
      </w:r>
      <w:r>
        <w:rPr>
          <w:rFonts w:cs="Arial"/>
        </w:rPr>
        <w:t xml:space="preserve">n el mencionado Estado de Resultado se incluye un importe de                            $ 12.602.305 correspondiente al resultado </w:t>
      </w:r>
      <w:proofErr w:type="spellStart"/>
      <w:r>
        <w:rPr>
          <w:rFonts w:cs="Arial"/>
        </w:rPr>
        <w:t>extrapresupuestal</w:t>
      </w:r>
      <w:proofErr w:type="spellEnd"/>
      <w:r>
        <w:rPr>
          <w:rFonts w:cs="Arial"/>
        </w:rPr>
        <w:t xml:space="preserve">, presentándose </w:t>
      </w:r>
      <w:r w:rsidR="00801968">
        <w:rPr>
          <w:rFonts w:cs="Arial"/>
        </w:rPr>
        <w:t xml:space="preserve">                                                                                                                                                                       </w:t>
      </w:r>
      <w:r>
        <w:rPr>
          <w:rFonts w:cs="Arial"/>
        </w:rPr>
        <w:t xml:space="preserve">exclusivamente un detalle de ingresos y egresos que lo constituyen, no adjuntándose el estado correspondiente a la evolución de estos fondos, a efectos de verificar la exactitud de la información incluida y la determinación de los saldos de fondos </w:t>
      </w:r>
      <w:proofErr w:type="spellStart"/>
      <w:r>
        <w:rPr>
          <w:rFonts w:cs="Arial"/>
        </w:rPr>
        <w:t>extrapresupuestales</w:t>
      </w:r>
      <w:proofErr w:type="spellEnd"/>
      <w:r>
        <w:rPr>
          <w:rFonts w:cs="Arial"/>
        </w:rPr>
        <w:t xml:space="preserve"> a cobrar y a pagar y de los que afectan el resultado.</w:t>
      </w:r>
    </w:p>
    <w:p w:rsidR="00A71BC2" w:rsidRDefault="00A71BC2" w:rsidP="00A71BC2">
      <w:pPr>
        <w:spacing w:after="0" w:line="360" w:lineRule="auto"/>
        <w:rPr>
          <w:rFonts w:cs="Arial"/>
        </w:rPr>
      </w:pPr>
      <w:r w:rsidRPr="00BD2211">
        <w:rPr>
          <w:rFonts w:cs="Arial"/>
          <w:b/>
        </w:rPr>
        <w:t>3)</w:t>
      </w:r>
      <w:r>
        <w:rPr>
          <w:rFonts w:cs="Arial"/>
        </w:rPr>
        <w:t xml:space="preserve"> No fue posible verificar el ajuste efectuado por la Intendencia al saldo de las obligaciones presupuestales impagas del ejercicio 2011, por </w:t>
      </w:r>
      <w:r w:rsidRPr="00BA3E9A">
        <w:rPr>
          <w:rFonts w:cs="Arial"/>
        </w:rPr>
        <w:t>$ 1</w:t>
      </w:r>
      <w:r>
        <w:rPr>
          <w:rFonts w:cs="Arial"/>
        </w:rPr>
        <w:t xml:space="preserve">.312.717 al no haberse proporcionado la correspondiente información. Además, al igual que en ejercicios anteriores, no se ha determinado el importe del pasivo con OSE. </w:t>
      </w:r>
    </w:p>
    <w:p w:rsidR="00A71BC2" w:rsidRDefault="00A71BC2" w:rsidP="00A71BC2">
      <w:pPr>
        <w:spacing w:after="0" w:line="360" w:lineRule="auto"/>
      </w:pPr>
      <w:r w:rsidRPr="00BD2211">
        <w:rPr>
          <w:rFonts w:cs="Arial"/>
          <w:b/>
        </w:rPr>
        <w:t>4)</w:t>
      </w:r>
      <w:r>
        <w:rPr>
          <w:rFonts w:cs="Arial"/>
        </w:rPr>
        <w:t xml:space="preserve"> </w:t>
      </w:r>
      <w:r>
        <w:t xml:space="preserve">El monto de las órdenes de Tesorería al 31/12/12, del que no se presenta detalle y que asciende a $ 48.044.727, está incluido en forma simultánea en el </w:t>
      </w:r>
      <w:r>
        <w:lastRenderedPageBreak/>
        <w:t xml:space="preserve">saldo de las obligaciones presupuestales impagas y como egreso en el </w:t>
      </w:r>
      <w:r>
        <w:rPr>
          <w:rFonts w:cs="Arial"/>
        </w:rPr>
        <w:t>estado de “Movimiento de fondos y valores”.</w:t>
      </w:r>
    </w:p>
    <w:bookmarkEnd w:id="4"/>
    <w:p w:rsidR="00A71BC2" w:rsidRDefault="00A71BC2" w:rsidP="00A71BC2">
      <w:pPr>
        <w:pStyle w:val="Textoindependiente"/>
        <w:spacing w:after="0" w:line="360" w:lineRule="auto"/>
        <w:rPr>
          <w:rFonts w:cs="Arial"/>
          <w:b/>
          <w:bCs/>
        </w:rPr>
      </w:pPr>
      <w:r>
        <w:rPr>
          <w:rFonts w:cs="Arial"/>
          <w:b/>
          <w:bCs/>
        </w:rPr>
        <w:t>Opinión</w:t>
      </w:r>
    </w:p>
    <w:p w:rsidR="00A71BC2" w:rsidRDefault="00A71BC2" w:rsidP="00A71BC2">
      <w:pPr>
        <w:pStyle w:val="Textoindependiente"/>
        <w:numPr>
          <w:ilvl w:val="0"/>
          <w:numId w:val="1"/>
        </w:numPr>
        <w:spacing w:after="0" w:line="360" w:lineRule="auto"/>
        <w:rPr>
          <w:rFonts w:cs="Arial"/>
        </w:rPr>
      </w:pPr>
      <w:r>
        <w:rPr>
          <w:rFonts w:cs="Arial"/>
          <w:b/>
          <w:bCs/>
        </w:rPr>
        <w:t xml:space="preserve"> </w:t>
      </w:r>
      <w:r>
        <w:rPr>
          <w:rFonts w:cs="Arial"/>
        </w:rPr>
        <w:t>En opinión del Tribunal de Cuentas, los estados de ejecución presupuestal con relación a los recursos y a los créditos presentan razonablemente la ejecución de los recursos y de los créditos del ejercicio en todos sus aspectos importantes, de acuerdo con las normas establecidas en el TOCAF y la Resolución de este Tribunal de fecha 28 de enero de 2004.</w:t>
      </w:r>
    </w:p>
    <w:p w:rsidR="00A71BC2" w:rsidRDefault="00A71BC2" w:rsidP="00A71BC2">
      <w:pPr>
        <w:numPr>
          <w:ilvl w:val="0"/>
          <w:numId w:val="1"/>
        </w:numPr>
        <w:spacing w:after="0" w:line="360" w:lineRule="auto"/>
        <w:rPr>
          <w:rFonts w:cs="Arial"/>
        </w:rPr>
      </w:pPr>
      <w:r>
        <w:rPr>
          <w:rFonts w:cs="Arial"/>
        </w:rPr>
        <w:t>Debido a las consideraciones efectuadas en las bases para la abstención de opinión y a que no fue posible aplicar otros procedimientos de auditoría para obtener evidencia sobre los aspectos mencionados, el alcance de la auditoría no es suficiente para permitir expresar, y por tanto no se expresa, una opinión respecto a los estados de resultado del ejercicio 2012 y de resultado acumu</w:t>
      </w:r>
      <w:r>
        <w:rPr>
          <w:rFonts w:cs="Arial"/>
        </w:rPr>
        <w:softHyphen/>
        <w:t>lado al 31 de diciembre de 2012.</w:t>
      </w:r>
    </w:p>
    <w:p w:rsidR="00A71BC2" w:rsidRDefault="00A71BC2" w:rsidP="00A71BC2">
      <w:pPr>
        <w:spacing w:after="0" w:line="360" w:lineRule="auto"/>
        <w:rPr>
          <w:rFonts w:cs="Arial"/>
        </w:rPr>
      </w:pPr>
      <w:r>
        <w:rPr>
          <w:rFonts w:cs="Arial"/>
        </w:rPr>
        <w:t>Con relación al cumplimiento de las disposiciones legales que fueron objeto de examen y en aplicación a lo dispuesto por el Artículo 211 Literales C) y E) de la Constitución de la República, en opinión del Tribunal de Cuentas no se ha dado cumplimiento a las siguientes normas:</w:t>
      </w:r>
    </w:p>
    <w:p w:rsidR="00A71BC2" w:rsidRDefault="00A71BC2" w:rsidP="00A71BC2">
      <w:pPr>
        <w:spacing w:after="0" w:line="360" w:lineRule="auto"/>
        <w:rPr>
          <w:rFonts w:cs="Arial"/>
        </w:rPr>
      </w:pPr>
      <w:r>
        <w:rPr>
          <w:rFonts w:cs="Arial"/>
          <w:b/>
          <w:bCs/>
        </w:rPr>
        <w:t xml:space="preserve">1. Artículo 86 de la Constitución de la República. </w:t>
      </w:r>
      <w:r>
        <w:rPr>
          <w:rFonts w:cs="Arial"/>
        </w:rPr>
        <w:t xml:space="preserve">Durante el ejercicio 2012 no se dio cumplimiento a la estructura orgánica establecida en la instancia presupuestal al no respetarse en su totalidad la cantidad de funcionarios presupuestados y no presupuestados. </w:t>
      </w:r>
      <w:r w:rsidRPr="001C028A">
        <w:rPr>
          <w:rFonts w:cs="Arial"/>
        </w:rPr>
        <w:t>A</w:t>
      </w:r>
      <w:r>
        <w:rPr>
          <w:rFonts w:cs="Arial"/>
        </w:rPr>
        <w:t>simismo, los incrementos salariales otorgados a los funcionarios y partidas por concepto de compensación, otorgadas a alguno de éstos, no fueron establecido</w:t>
      </w:r>
      <w:r w:rsidRPr="001C028A">
        <w:rPr>
          <w:rFonts w:cs="Arial"/>
        </w:rPr>
        <w:t xml:space="preserve">s en la instancia </w:t>
      </w:r>
      <w:r>
        <w:rPr>
          <w:rFonts w:cs="Arial"/>
        </w:rPr>
        <w:t>p</w:t>
      </w:r>
      <w:r w:rsidRPr="001C028A">
        <w:rPr>
          <w:rFonts w:cs="Arial"/>
        </w:rPr>
        <w:t xml:space="preserve">resupuestal. </w:t>
      </w:r>
    </w:p>
    <w:p w:rsidR="00A71BC2" w:rsidRDefault="00A71BC2" w:rsidP="00A71BC2">
      <w:pPr>
        <w:spacing w:after="0" w:line="360" w:lineRule="auto"/>
        <w:rPr>
          <w:rFonts w:cs="Arial"/>
          <w:b/>
          <w:bCs/>
        </w:rPr>
      </w:pPr>
      <w:r w:rsidRPr="00C00EE7">
        <w:rPr>
          <w:rFonts w:cs="Arial"/>
          <w:b/>
          <w:bCs/>
        </w:rPr>
        <w:t xml:space="preserve">2. Artículo 211 Literal B) de la Constitución y Artículos 23 y </w:t>
      </w:r>
      <w:r>
        <w:rPr>
          <w:rFonts w:cs="Arial"/>
          <w:b/>
          <w:bCs/>
        </w:rPr>
        <w:t>87</w:t>
      </w:r>
      <w:r w:rsidRPr="00C00EE7">
        <w:rPr>
          <w:rFonts w:cs="Arial"/>
          <w:b/>
          <w:bCs/>
        </w:rPr>
        <w:t xml:space="preserve"> del TOCAF</w:t>
      </w:r>
      <w:r>
        <w:rPr>
          <w:rFonts w:cs="Arial"/>
          <w:b/>
          <w:bCs/>
        </w:rPr>
        <w:t>.</w:t>
      </w:r>
    </w:p>
    <w:p w:rsidR="00A71BC2" w:rsidRDefault="00A71BC2" w:rsidP="00A71BC2">
      <w:pPr>
        <w:spacing w:after="0" w:line="360" w:lineRule="auto"/>
        <w:rPr>
          <w:rFonts w:cs="Arial"/>
        </w:rPr>
      </w:pPr>
      <w:r>
        <w:rPr>
          <w:rFonts w:cs="Arial"/>
        </w:rPr>
        <w:t xml:space="preserve">Se otorgaron anticipos de viáticos cuya intervención no es preventiva sino realizada con posterioridad, al momento de intervenir los sueldos. </w:t>
      </w:r>
    </w:p>
    <w:p w:rsidR="00A71BC2" w:rsidRPr="00752BB6" w:rsidRDefault="00A71BC2" w:rsidP="00A71BC2">
      <w:pPr>
        <w:tabs>
          <w:tab w:val="left" w:pos="142"/>
          <w:tab w:val="left" w:pos="284"/>
        </w:tabs>
        <w:spacing w:after="0" w:line="360" w:lineRule="auto"/>
        <w:rPr>
          <w:rFonts w:cs="Arial"/>
          <w:bCs/>
          <w:szCs w:val="24"/>
          <w:lang w:val="es-ES" w:eastAsia="es-UY"/>
        </w:rPr>
      </w:pPr>
      <w:r>
        <w:rPr>
          <w:rFonts w:cs="Arial"/>
          <w:b/>
          <w:bCs/>
          <w:szCs w:val="24"/>
          <w:lang w:val="es-ES" w:eastAsia="es-UY"/>
        </w:rPr>
        <w:lastRenderedPageBreak/>
        <w:t xml:space="preserve">3. Artículo 268 de la Constitución de la República. </w:t>
      </w:r>
      <w:r>
        <w:rPr>
          <w:rFonts w:cs="Arial"/>
          <w:bCs/>
          <w:szCs w:val="24"/>
          <w:lang w:val="es-ES" w:eastAsia="es-UY"/>
        </w:rPr>
        <w:t>No se aplicó el procedimiento previsto en esta norma para designar al Intendente interino, al no existir suplentes en condiciones constitucionales de asumir el cargo.</w:t>
      </w:r>
    </w:p>
    <w:p w:rsidR="00A71BC2" w:rsidRPr="00F76337" w:rsidRDefault="00A71BC2" w:rsidP="00A71BC2">
      <w:pPr>
        <w:spacing w:after="0" w:line="360" w:lineRule="auto"/>
        <w:rPr>
          <w:rFonts w:cs="Arial"/>
          <w:b/>
          <w:bCs/>
          <w:szCs w:val="24"/>
          <w:lang w:val="es-ES" w:eastAsia="es-UY"/>
        </w:rPr>
      </w:pPr>
      <w:r>
        <w:rPr>
          <w:rFonts w:cs="Arial"/>
          <w:b/>
          <w:bCs/>
          <w:szCs w:val="24"/>
          <w:lang w:val="es-ES" w:eastAsia="es-UY"/>
        </w:rPr>
        <w:t xml:space="preserve">4. Artículo 289 de la Constitución de la República. </w:t>
      </w:r>
      <w:r>
        <w:t>Durante el ejercicio 2012 se verificó la incompatibilidad prevista por esta norma, en relación con todo otro cargo o empleo público, en el caso de los funcionarios actuantes en calidad de Intendente interino, no ajustándose a derecho los pagos efectuados en dicha oportunidad.</w:t>
      </w:r>
    </w:p>
    <w:p w:rsidR="00A71BC2" w:rsidRDefault="00A71BC2" w:rsidP="00A71BC2">
      <w:pPr>
        <w:spacing w:after="0" w:line="360" w:lineRule="auto"/>
        <w:rPr>
          <w:rFonts w:cs="Arial"/>
          <w:b/>
          <w:bCs/>
        </w:rPr>
      </w:pPr>
      <w:r>
        <w:rPr>
          <w:rFonts w:cs="Arial"/>
          <w:b/>
          <w:bCs/>
        </w:rPr>
        <w:t>5. Artículo 297 de la Constitución y Artículos 93 y 94 del Código Tributario.</w:t>
      </w:r>
      <w:r>
        <w:rPr>
          <w:rFonts w:cs="Arial"/>
        </w:rPr>
        <w:t xml:space="preserve"> Las alícuotas aplicadas por la Intendencia para determinar las multas por mora en el pago de la Contribución Inmobiliaria Rural y del Impuesto Ley Nº 12.700 sobre las ventas de semovientes, no se ajustan a dichas normas. </w:t>
      </w:r>
      <w:r>
        <w:rPr>
          <w:rFonts w:cs="Arial"/>
          <w:b/>
          <w:bCs/>
        </w:rPr>
        <w:t xml:space="preserve"> </w:t>
      </w:r>
    </w:p>
    <w:p w:rsidR="00A71BC2" w:rsidRDefault="00A71BC2" w:rsidP="00A71BC2">
      <w:pPr>
        <w:autoSpaceDE w:val="0"/>
        <w:autoSpaceDN w:val="0"/>
        <w:adjustRightInd w:val="0"/>
        <w:spacing w:after="0" w:line="360" w:lineRule="auto"/>
        <w:rPr>
          <w:rFonts w:cs="Arial"/>
        </w:rPr>
      </w:pPr>
      <w:r>
        <w:rPr>
          <w:rFonts w:cs="Arial"/>
          <w:b/>
        </w:rPr>
        <w:t xml:space="preserve">6. Ley Nº 18.083 y Artículo 101 del Decreto Nº 220/98. </w:t>
      </w:r>
      <w:r>
        <w:rPr>
          <w:rFonts w:cs="Arial"/>
        </w:rPr>
        <w:t xml:space="preserve">La Intendencia no facturó el IVA a los servicios </w:t>
      </w:r>
      <w:proofErr w:type="gramStart"/>
      <w:r>
        <w:rPr>
          <w:rFonts w:cs="Arial"/>
        </w:rPr>
        <w:t>de los camping</w:t>
      </w:r>
      <w:proofErr w:type="gramEnd"/>
      <w:r>
        <w:rPr>
          <w:rFonts w:cs="Arial"/>
        </w:rPr>
        <w:t xml:space="preserve">. </w:t>
      </w:r>
    </w:p>
    <w:p w:rsidR="00A71BC2" w:rsidRPr="00AE335B" w:rsidRDefault="00A71BC2" w:rsidP="00A71BC2">
      <w:pPr>
        <w:autoSpaceDE w:val="0"/>
        <w:autoSpaceDN w:val="0"/>
        <w:adjustRightInd w:val="0"/>
        <w:spacing w:after="0" w:line="360" w:lineRule="auto"/>
        <w:rPr>
          <w:rFonts w:cs="Arial"/>
        </w:rPr>
      </w:pPr>
      <w:r>
        <w:rPr>
          <w:rFonts w:cs="Arial"/>
          <w:b/>
        </w:rPr>
        <w:t>7</w:t>
      </w:r>
      <w:r w:rsidRPr="00AE335B">
        <w:rPr>
          <w:rFonts w:cs="Arial"/>
          <w:b/>
        </w:rPr>
        <w:t>.</w:t>
      </w:r>
      <w:r>
        <w:rPr>
          <w:rFonts w:cs="Arial"/>
          <w:b/>
        </w:rPr>
        <w:t xml:space="preserve"> Artículo 14 del TOCAF.</w:t>
      </w:r>
      <w:r>
        <w:rPr>
          <w:rFonts w:cs="Arial"/>
        </w:rPr>
        <w:t xml:space="preserve"> La mayoría de los contratos de función pública se imputaron en el objeto 031.</w:t>
      </w:r>
    </w:p>
    <w:p w:rsidR="00A71BC2" w:rsidRPr="007773DE" w:rsidRDefault="00A71BC2" w:rsidP="00A71BC2">
      <w:pPr>
        <w:autoSpaceDE w:val="0"/>
        <w:autoSpaceDN w:val="0"/>
        <w:adjustRightInd w:val="0"/>
        <w:spacing w:after="0" w:line="360" w:lineRule="auto"/>
        <w:rPr>
          <w:rFonts w:cs="Arial"/>
          <w:color w:val="000000"/>
        </w:rPr>
      </w:pPr>
      <w:r>
        <w:rPr>
          <w:rFonts w:cs="Arial"/>
          <w:b/>
        </w:rPr>
        <w:t>8</w:t>
      </w:r>
      <w:r w:rsidRPr="007773DE">
        <w:rPr>
          <w:rFonts w:cs="Arial"/>
          <w:b/>
        </w:rPr>
        <w:t xml:space="preserve">. Artículo 15 del TOCAF. </w:t>
      </w:r>
      <w:r>
        <w:rPr>
          <w:rFonts w:cs="Arial"/>
        </w:rPr>
        <w:t>Se realizaron gastos sin contar con disponibilidad presupuestal.</w:t>
      </w:r>
    </w:p>
    <w:p w:rsidR="00A71BC2" w:rsidRDefault="00A71BC2" w:rsidP="00A71BC2">
      <w:pPr>
        <w:pStyle w:val="Textoindependiente"/>
        <w:spacing w:after="0" w:line="360" w:lineRule="auto"/>
        <w:rPr>
          <w:rFonts w:cs="Arial"/>
          <w:color w:val="000000"/>
        </w:rPr>
      </w:pPr>
      <w:r>
        <w:rPr>
          <w:rFonts w:cs="Arial"/>
          <w:b/>
          <w:bCs/>
        </w:rPr>
        <w:t xml:space="preserve">9. </w:t>
      </w:r>
      <w:r>
        <w:rPr>
          <w:rFonts w:cs="Arial"/>
          <w:b/>
        </w:rPr>
        <w:t>Artículos 33 y 43 del TOCAF.</w:t>
      </w:r>
      <w:r>
        <w:rPr>
          <w:rFonts w:cs="Arial"/>
          <w:bCs/>
        </w:rPr>
        <w:t xml:space="preserve"> </w:t>
      </w:r>
      <w:r>
        <w:rPr>
          <w:rFonts w:cs="Arial"/>
        </w:rPr>
        <w:t xml:space="preserve">Se han efectuado compras sin los correspondientes llamados a licitación. </w:t>
      </w:r>
      <w:r>
        <w:rPr>
          <w:rFonts w:cs="Arial"/>
          <w:color w:val="000000"/>
        </w:rPr>
        <w:t>Al no tener en cuenta las necesidades de suministros para todo el Ejercicio, se omitió la aplicación de los procedimientos de contratación que hubieran correspondido.</w:t>
      </w:r>
    </w:p>
    <w:p w:rsidR="00A71BC2" w:rsidRDefault="00A71BC2" w:rsidP="00A71BC2">
      <w:pPr>
        <w:spacing w:after="0" w:line="360" w:lineRule="auto"/>
        <w:rPr>
          <w:rFonts w:cs="Arial"/>
        </w:rPr>
      </w:pPr>
      <w:r>
        <w:rPr>
          <w:rFonts w:cs="Arial"/>
          <w:b/>
          <w:bCs/>
        </w:rPr>
        <w:t xml:space="preserve">10. Artículo 94 del TOCAF </w:t>
      </w:r>
      <w:r>
        <w:rPr>
          <w:rFonts w:cs="Arial"/>
          <w:b/>
        </w:rPr>
        <w:t xml:space="preserve">y </w:t>
      </w:r>
      <w:r>
        <w:rPr>
          <w:rFonts w:cs="Arial"/>
          <w:b/>
          <w:bCs/>
        </w:rPr>
        <w:t>Ordenanza 81 del Tribunal de Cuentas.</w:t>
      </w:r>
      <w:r>
        <w:rPr>
          <w:rFonts w:cs="Arial"/>
        </w:rPr>
        <w:t xml:space="preserve"> La Intendencia no ha implementado totalmente un sistema contable que permita cumplir con lo establecido por dichas normas.</w:t>
      </w:r>
    </w:p>
    <w:p w:rsidR="00A71BC2" w:rsidRDefault="00A71BC2" w:rsidP="00A71BC2">
      <w:pPr>
        <w:spacing w:after="0" w:line="360" w:lineRule="auto"/>
        <w:rPr>
          <w:rFonts w:cs="Arial"/>
          <w:bCs/>
        </w:rPr>
      </w:pPr>
      <w:r>
        <w:rPr>
          <w:rFonts w:cs="Arial"/>
          <w:b/>
        </w:rPr>
        <w:t xml:space="preserve">11. Artículos 102 y 109 del TOCAF. </w:t>
      </w:r>
      <w:r>
        <w:rPr>
          <w:rFonts w:cs="Arial"/>
          <w:bCs/>
        </w:rPr>
        <w:t>No se efectuaron arqueos en los Municipios, Juntas Locales y Centros Termales.</w:t>
      </w:r>
    </w:p>
    <w:p w:rsidR="00A71BC2" w:rsidRDefault="00A71BC2" w:rsidP="00A71BC2">
      <w:pPr>
        <w:spacing w:after="0" w:line="360" w:lineRule="auto"/>
        <w:rPr>
          <w:rFonts w:cs="Arial"/>
          <w:bCs/>
        </w:rPr>
      </w:pPr>
    </w:p>
    <w:p w:rsidR="00A71BC2" w:rsidRDefault="00A71BC2" w:rsidP="00A71BC2">
      <w:pPr>
        <w:autoSpaceDE w:val="0"/>
        <w:autoSpaceDN w:val="0"/>
        <w:adjustRightInd w:val="0"/>
        <w:spacing w:after="0" w:line="360" w:lineRule="auto"/>
        <w:rPr>
          <w:rFonts w:cs="Arial"/>
        </w:rPr>
      </w:pPr>
      <w:r>
        <w:rPr>
          <w:rFonts w:cs="Arial"/>
          <w:b/>
        </w:rPr>
        <w:lastRenderedPageBreak/>
        <w:t>12. Artículo 111 Numeral 6) del TOCAF.</w:t>
      </w:r>
      <w:r>
        <w:rPr>
          <w:rFonts w:cs="Arial"/>
        </w:rPr>
        <w:t xml:space="preserve"> La Auditoría Interna no proporcionó al Tribunal de Cuentas la planificación de auditoría prevista para el Ejercicio 2012.</w:t>
      </w:r>
    </w:p>
    <w:p w:rsidR="00A71BC2" w:rsidRDefault="00A71BC2" w:rsidP="00A71BC2">
      <w:pPr>
        <w:spacing w:after="0" w:line="360" w:lineRule="auto"/>
        <w:rPr>
          <w:rFonts w:cs="Arial"/>
          <w:bCs/>
        </w:rPr>
      </w:pPr>
      <w:r>
        <w:rPr>
          <w:rFonts w:cs="Arial"/>
          <w:b/>
          <w:bCs/>
        </w:rPr>
        <w:t xml:space="preserve">13. Artículo 128 del TOCAF. </w:t>
      </w:r>
      <w:r>
        <w:rPr>
          <w:rFonts w:cs="Arial"/>
        </w:rPr>
        <w:t>El estado remitido de cumplimiento de metas y objetivos no se ajusta a lo estipulado en la citada norma</w:t>
      </w:r>
      <w:r>
        <w:rPr>
          <w:rFonts w:cs="Arial"/>
          <w:bCs/>
        </w:rPr>
        <w:t xml:space="preserve">. </w:t>
      </w:r>
    </w:p>
    <w:p w:rsidR="00A71BC2" w:rsidRPr="004947BD" w:rsidRDefault="00A71BC2" w:rsidP="00A71BC2">
      <w:pPr>
        <w:spacing w:after="0" w:line="360" w:lineRule="auto"/>
        <w:rPr>
          <w:rFonts w:cs="Arial"/>
          <w:bCs/>
        </w:rPr>
      </w:pPr>
      <w:r w:rsidRPr="00645196">
        <w:rPr>
          <w:rFonts w:cs="Arial"/>
          <w:b/>
          <w:bCs/>
        </w:rPr>
        <w:t>14.</w:t>
      </w:r>
      <w:r>
        <w:rPr>
          <w:rFonts w:cs="Arial"/>
          <w:b/>
          <w:bCs/>
        </w:rPr>
        <w:t xml:space="preserve"> Artículo 132 del TOCAF.</w:t>
      </w:r>
      <w:r>
        <w:rPr>
          <w:rFonts w:cs="Arial"/>
          <w:bCs/>
        </w:rPr>
        <w:t xml:space="preserve"> No se proporcionó la rendición de cuentas de la Semana de la Cerveza correspondiente al ejercicio 2012.</w:t>
      </w:r>
    </w:p>
    <w:p w:rsidR="00A71BC2" w:rsidRDefault="00A71BC2" w:rsidP="00A71BC2">
      <w:pPr>
        <w:autoSpaceDE w:val="0"/>
        <w:autoSpaceDN w:val="0"/>
        <w:adjustRightInd w:val="0"/>
        <w:spacing w:after="0" w:line="360" w:lineRule="auto"/>
        <w:rPr>
          <w:rFonts w:cs="Arial"/>
          <w:color w:val="000000"/>
        </w:rPr>
      </w:pPr>
      <w:r>
        <w:rPr>
          <w:rFonts w:cs="Arial"/>
          <w:b/>
          <w:color w:val="000000"/>
        </w:rPr>
        <w:t>15. Convenio N° 30 de la OIT.</w:t>
      </w:r>
      <w:r>
        <w:rPr>
          <w:rFonts w:cs="Arial"/>
          <w:color w:val="000000"/>
        </w:rPr>
        <w:t xml:space="preserve"> Las liquidaciones de horas extras realizadas durante el Ejercicio 2012 superaron, en algunos casos, los topes establecidos en el mencionado Convenio.</w:t>
      </w:r>
    </w:p>
    <w:p w:rsidR="00A71BC2" w:rsidRPr="00BC344E" w:rsidRDefault="00A71BC2" w:rsidP="00A71BC2">
      <w:pPr>
        <w:autoSpaceDE w:val="0"/>
        <w:autoSpaceDN w:val="0"/>
        <w:adjustRightInd w:val="0"/>
        <w:spacing w:after="0" w:line="360" w:lineRule="auto"/>
        <w:rPr>
          <w:rFonts w:cs="Arial"/>
          <w:color w:val="000000"/>
        </w:rPr>
      </w:pPr>
      <w:r>
        <w:rPr>
          <w:rFonts w:cs="Arial"/>
          <w:b/>
          <w:color w:val="000000"/>
        </w:rPr>
        <w:t>16. Resolución del Tribunal de Cuentas de fecha 28/01/2004.</w:t>
      </w:r>
      <w:r>
        <w:rPr>
          <w:rFonts w:cs="Arial"/>
          <w:color w:val="000000"/>
        </w:rPr>
        <w:t xml:space="preserve"> El documento presentado no se ajusta totalmente en su formulación a lo dispuesto por la citada Resolución al no formularse la totalidad de los estados que establece la misma. Asimismo, la ejecución del Grupo 0, cuyo total gastado se consideró a los efectos del resultado del ejercicio, se proporcionó por información complementaria.</w:t>
      </w:r>
    </w:p>
    <w:p w:rsidR="00A71BC2" w:rsidRDefault="00A71BC2" w:rsidP="00A71BC2">
      <w:pPr>
        <w:spacing w:after="0" w:line="360" w:lineRule="auto"/>
        <w:jc w:val="right"/>
        <w:rPr>
          <w:rFonts w:cs="Arial"/>
          <w:lang w:val="es-MX"/>
        </w:rPr>
      </w:pPr>
      <w:r>
        <w:rPr>
          <w:rFonts w:cs="Arial"/>
          <w:lang w:val="es-MX"/>
        </w:rPr>
        <w:t>Montevideo, 11 de Noviembre de 2013</w:t>
      </w:r>
    </w:p>
    <w:p w:rsidR="00A71BC2" w:rsidRDefault="00A71BC2" w:rsidP="00A71BC2">
      <w:pPr>
        <w:spacing w:after="0" w:line="360" w:lineRule="auto"/>
        <w:rPr>
          <w:rFonts w:cs="Arial"/>
          <w:lang w:val="es-MX"/>
        </w:rPr>
      </w:pPr>
    </w:p>
    <w:p w:rsidR="0014261D" w:rsidRDefault="0014261D" w:rsidP="00A71BC2">
      <w:pPr>
        <w:spacing w:after="0" w:line="360" w:lineRule="auto"/>
        <w:rPr>
          <w:rFonts w:cs="Arial"/>
          <w:lang w:val="es-MX"/>
        </w:rPr>
      </w:pPr>
    </w:p>
    <w:p w:rsidR="00A71BC2" w:rsidRDefault="00A71BC2" w:rsidP="00A71BC2">
      <w:pPr>
        <w:pStyle w:val="Ttulo1"/>
        <w:jc w:val="center"/>
      </w:pPr>
      <w:bookmarkStart w:id="5" w:name="_Toc343587254"/>
      <w:bookmarkStart w:id="6" w:name="_Toc371950520"/>
      <w:r>
        <w:t>INFORME A LA ADMINISTRACIÓN</w:t>
      </w:r>
      <w:bookmarkEnd w:id="5"/>
      <w:bookmarkEnd w:id="6"/>
    </w:p>
    <w:p w:rsidR="0014261D" w:rsidRPr="0014261D" w:rsidRDefault="0014261D" w:rsidP="0014261D">
      <w:pPr>
        <w:rPr>
          <w:lang w:val="es-ES" w:eastAsia="es-ES"/>
        </w:rPr>
      </w:pPr>
    </w:p>
    <w:p w:rsidR="00A71BC2" w:rsidRDefault="00A71BC2" w:rsidP="00A71BC2">
      <w:pPr>
        <w:pStyle w:val="Textoindependiente"/>
        <w:spacing w:after="0" w:line="360" w:lineRule="auto"/>
        <w:rPr>
          <w:rFonts w:cs="Arial"/>
        </w:rPr>
      </w:pPr>
      <w:r>
        <w:rPr>
          <w:rFonts w:cs="Arial"/>
        </w:rPr>
        <w:t>El Tribunal de Cuentas ha examinado la Rendición de Cuentas y Balance de Ejecución Presupuestal correspondiente al Ejercicio 2012 y ha emitido su correspondiente Dictamen.</w:t>
      </w:r>
    </w:p>
    <w:p w:rsidR="00A71BC2" w:rsidRDefault="00A71BC2" w:rsidP="00A71BC2">
      <w:pPr>
        <w:spacing w:after="0" w:line="360" w:lineRule="auto"/>
        <w:rPr>
          <w:rFonts w:cs="Arial"/>
        </w:rPr>
      </w:pPr>
      <w:r>
        <w:rPr>
          <w:rFonts w:cs="Arial"/>
        </w:rPr>
        <w:t xml:space="preserve">Como consecuencia del examen practicado, se incluyen en este Informe comentarios que se ha entendido conveniente exponer, relacionados con la situación de determinados capítulos y rubros de los estados examinados, obligaciones a cumplir, así como recomendaciones que deberá atender el </w:t>
      </w:r>
      <w:r>
        <w:rPr>
          <w:rFonts w:cs="Arial"/>
        </w:rPr>
        <w:lastRenderedPageBreak/>
        <w:t>Organismo. Se incluye además una evaluación de la forma de cumplimiento de las recomendaciones presentadas en el informe de auditoría correspondiente al ejercicio anterior.</w:t>
      </w:r>
    </w:p>
    <w:p w:rsidR="00A71BC2" w:rsidRDefault="00A71BC2" w:rsidP="00A71BC2">
      <w:pPr>
        <w:pStyle w:val="Ttulo2"/>
        <w:numPr>
          <w:ilvl w:val="1"/>
          <w:numId w:val="5"/>
        </w:numPr>
        <w:spacing w:after="0"/>
        <w:jc w:val="both"/>
        <w:rPr>
          <w:rFonts w:cs="Arial"/>
        </w:rPr>
      </w:pPr>
      <w:bookmarkStart w:id="7" w:name="_Toc117592863"/>
      <w:bookmarkStart w:id="8" w:name="_Toc147733818"/>
      <w:bookmarkStart w:id="9" w:name="_Toc279417833"/>
      <w:bookmarkStart w:id="10" w:name="_Toc176148647"/>
      <w:bookmarkStart w:id="11" w:name="_Toc176148746"/>
      <w:bookmarkStart w:id="12" w:name="_Toc176149130"/>
      <w:bookmarkStart w:id="13" w:name="_Toc177548563"/>
      <w:bookmarkStart w:id="14" w:name="_Toc343587255"/>
      <w:bookmarkStart w:id="15" w:name="_Toc371950521"/>
      <w:r>
        <w:rPr>
          <w:rFonts w:cs="Arial"/>
          <w:lang w:val="es-ES_tradnl"/>
        </w:rPr>
        <w:t xml:space="preserve">Hechos que fundamentan un Dictamen con </w:t>
      </w:r>
      <w:bookmarkEnd w:id="7"/>
      <w:bookmarkEnd w:id="8"/>
      <w:r>
        <w:rPr>
          <w:rFonts w:cs="Arial"/>
          <w:lang w:val="es-ES_tradnl"/>
        </w:rPr>
        <w:t>abstención</w:t>
      </w:r>
      <w:bookmarkEnd w:id="9"/>
      <w:r>
        <w:rPr>
          <w:rFonts w:cs="Arial"/>
          <w:lang w:val="es-ES_tradnl"/>
        </w:rPr>
        <w:t xml:space="preserve"> </w:t>
      </w:r>
      <w:bookmarkStart w:id="16" w:name="_Toc279417834"/>
      <w:bookmarkEnd w:id="10"/>
      <w:bookmarkEnd w:id="11"/>
      <w:bookmarkEnd w:id="12"/>
      <w:bookmarkEnd w:id="13"/>
      <w:r>
        <w:rPr>
          <w:rFonts w:cs="Arial"/>
        </w:rPr>
        <w:t>respecto a los  estados de resultado del Ejercicio y de resultado acumulado al 31 de diciembre de 201</w:t>
      </w:r>
      <w:bookmarkEnd w:id="16"/>
      <w:r>
        <w:rPr>
          <w:rFonts w:cs="Arial"/>
        </w:rPr>
        <w:t>2</w:t>
      </w:r>
      <w:bookmarkStart w:id="17" w:name="_Toc343587256"/>
      <w:bookmarkEnd w:id="14"/>
      <w:bookmarkEnd w:id="15"/>
    </w:p>
    <w:p w:rsidR="00A71BC2" w:rsidRDefault="00A71BC2" w:rsidP="00A71BC2">
      <w:pPr>
        <w:pStyle w:val="Ttulo2"/>
        <w:spacing w:after="0"/>
        <w:jc w:val="both"/>
        <w:rPr>
          <w:rFonts w:cs="Arial"/>
        </w:rPr>
      </w:pPr>
      <w:bookmarkStart w:id="18" w:name="_Toc371950522"/>
      <w:r>
        <w:rPr>
          <w:rFonts w:cs="Arial"/>
        </w:rPr>
        <w:t xml:space="preserve">3.1.1 Resultado Acumulado al </w:t>
      </w:r>
      <w:bookmarkEnd w:id="17"/>
      <w:r>
        <w:rPr>
          <w:rFonts w:cs="Arial"/>
        </w:rPr>
        <w:t>31 de diciembre de 2012</w:t>
      </w:r>
      <w:bookmarkEnd w:id="18"/>
    </w:p>
    <w:p w:rsidR="00A71BC2" w:rsidRDefault="00A71BC2" w:rsidP="00A71BC2">
      <w:pPr>
        <w:spacing w:after="0" w:line="360" w:lineRule="auto"/>
        <w:rPr>
          <w:rFonts w:cs="Arial"/>
        </w:rPr>
      </w:pPr>
      <w:r>
        <w:rPr>
          <w:rFonts w:cs="Arial"/>
        </w:rPr>
        <w:t xml:space="preserve">El resultado acumulado al 31 de diciembre de 2012 presentado por la Comuna no resulta de la suma del resultado acumulado al 31 de diciembre de 2011 con el resultado del ejercicio 2012 determinado en el Estado Nº 2 del documento. Se han incluido como activos ingresos de origen nacional devengados en el cálculo del resultado acumulado por un importe de $68.178.742. Asimismo, se incluye una partida de </w:t>
      </w:r>
      <w:proofErr w:type="spellStart"/>
      <w:r>
        <w:rPr>
          <w:rFonts w:cs="Arial"/>
        </w:rPr>
        <w:t>extrapresupuesto</w:t>
      </w:r>
      <w:proofErr w:type="spellEnd"/>
      <w:r>
        <w:rPr>
          <w:rFonts w:cs="Arial"/>
        </w:rPr>
        <w:t xml:space="preserve"> a cobrar (activo) por $ 2.918.109 y otra de </w:t>
      </w:r>
      <w:proofErr w:type="spellStart"/>
      <w:r>
        <w:rPr>
          <w:rFonts w:cs="Arial"/>
        </w:rPr>
        <w:t>extrapresupuesto</w:t>
      </w:r>
      <w:proofErr w:type="spellEnd"/>
      <w:r>
        <w:rPr>
          <w:rFonts w:cs="Arial"/>
        </w:rPr>
        <w:t xml:space="preserve"> a pagar (pasivo) por $ 79.221.082. La Rendición de Cuentas no incluye el estado que presenta la evolución de los fondos </w:t>
      </w:r>
      <w:proofErr w:type="spellStart"/>
      <w:r>
        <w:rPr>
          <w:rFonts w:cs="Arial"/>
        </w:rPr>
        <w:t>extrapresupuestales</w:t>
      </w:r>
      <w:proofErr w:type="spellEnd"/>
      <w:r>
        <w:rPr>
          <w:rFonts w:cs="Arial"/>
        </w:rPr>
        <w:t xml:space="preserve"> con identificación de aquellas partidas que, no afectando resultados, representan importes a percibir o a los que deberá darse el destino correspondiente y que son tomados en cuenta por la Intendencia a efectos de la determinación del resultado acumulado al cierre del ejercicio, por lo que no es posible verificar la exactitud de estos importes. </w:t>
      </w:r>
    </w:p>
    <w:p w:rsidR="00A71BC2" w:rsidRDefault="00A71BC2" w:rsidP="00A71BC2">
      <w:pPr>
        <w:pStyle w:val="Ttulo2"/>
        <w:spacing w:after="0"/>
        <w:jc w:val="both"/>
        <w:rPr>
          <w:rFonts w:cs="Arial"/>
        </w:rPr>
      </w:pPr>
      <w:bookmarkStart w:id="19" w:name="_Toc343587257"/>
      <w:bookmarkStart w:id="20" w:name="_Toc371950523"/>
      <w:bookmarkStart w:id="21" w:name="_Toc177813428"/>
      <w:bookmarkStart w:id="22" w:name="_Toc178493987"/>
      <w:bookmarkStart w:id="23" w:name="_Toc238899475"/>
      <w:r>
        <w:rPr>
          <w:rFonts w:cs="Arial"/>
        </w:rPr>
        <w:t>3.1.2 Resultado del ejercicio</w:t>
      </w:r>
      <w:bookmarkEnd w:id="19"/>
      <w:bookmarkEnd w:id="20"/>
    </w:p>
    <w:p w:rsidR="00A71BC2" w:rsidRDefault="00A71BC2" w:rsidP="00A71BC2">
      <w:pPr>
        <w:spacing w:after="0" w:line="360" w:lineRule="auto"/>
        <w:rPr>
          <w:rFonts w:cs="Arial"/>
        </w:rPr>
      </w:pPr>
      <w:r>
        <w:rPr>
          <w:rFonts w:cs="Arial"/>
        </w:rPr>
        <w:t xml:space="preserve">La Intendencia presenta solamente un detalle de los conceptos e importes que afectan el resultado del ejercicio y no el estado de evolución de fondos </w:t>
      </w:r>
      <w:proofErr w:type="spellStart"/>
      <w:r>
        <w:rPr>
          <w:rFonts w:cs="Arial"/>
        </w:rPr>
        <w:t>extrapresupuestales</w:t>
      </w:r>
      <w:proofErr w:type="spellEnd"/>
      <w:r>
        <w:rPr>
          <w:rFonts w:cs="Arial"/>
        </w:rPr>
        <w:t xml:space="preserve">, por lo que no </w:t>
      </w:r>
      <w:bookmarkEnd w:id="21"/>
      <w:bookmarkEnd w:id="22"/>
      <w:bookmarkEnd w:id="23"/>
      <w:r>
        <w:rPr>
          <w:rFonts w:cs="Arial"/>
        </w:rPr>
        <w:t xml:space="preserve">es posible verificar la exactitud del importe correspondiente a “Resultados </w:t>
      </w:r>
      <w:proofErr w:type="spellStart"/>
      <w:r>
        <w:rPr>
          <w:rFonts w:cs="Arial"/>
        </w:rPr>
        <w:t>Extrapresupues</w:t>
      </w:r>
      <w:r w:rsidRPr="00636A75">
        <w:rPr>
          <w:rFonts w:cs="Arial"/>
        </w:rPr>
        <w:t>tales</w:t>
      </w:r>
      <w:proofErr w:type="spellEnd"/>
      <w:r w:rsidRPr="00636A75">
        <w:rPr>
          <w:rFonts w:cs="Arial"/>
        </w:rPr>
        <w:t xml:space="preserve">” incluido </w:t>
      </w:r>
      <w:r>
        <w:rPr>
          <w:rFonts w:cs="Arial"/>
        </w:rPr>
        <w:t xml:space="preserve">en </w:t>
      </w:r>
      <w:r w:rsidRPr="00636A75">
        <w:rPr>
          <w:rFonts w:cs="Arial"/>
        </w:rPr>
        <w:t>el resultado</w:t>
      </w:r>
      <w:r>
        <w:rPr>
          <w:rFonts w:cs="Arial"/>
        </w:rPr>
        <w:t xml:space="preserve"> del ejercicio.</w:t>
      </w:r>
    </w:p>
    <w:p w:rsidR="00A71BC2" w:rsidRDefault="00A71BC2" w:rsidP="00A71BC2">
      <w:pPr>
        <w:pStyle w:val="Ttulo2"/>
        <w:spacing w:after="0"/>
        <w:jc w:val="both"/>
        <w:rPr>
          <w:rFonts w:cs="Arial"/>
        </w:rPr>
      </w:pPr>
      <w:bookmarkStart w:id="24" w:name="_Toc343587258"/>
      <w:bookmarkStart w:id="25" w:name="_Toc371950524"/>
      <w:r>
        <w:rPr>
          <w:rFonts w:cs="Arial"/>
        </w:rPr>
        <w:t>3.1.3 Obligaciones presupuestales impagas</w:t>
      </w:r>
      <w:bookmarkEnd w:id="24"/>
      <w:bookmarkEnd w:id="25"/>
    </w:p>
    <w:p w:rsidR="00A71BC2" w:rsidRDefault="00A71BC2" w:rsidP="00A71BC2">
      <w:pPr>
        <w:spacing w:after="0" w:line="360" w:lineRule="auto"/>
        <w:rPr>
          <w:rFonts w:cs="Arial"/>
        </w:rPr>
      </w:pPr>
      <w:r>
        <w:rPr>
          <w:rFonts w:cs="Arial"/>
        </w:rPr>
        <w:t xml:space="preserve">Del saldo de obligaciones presupuestales impagas al 31 de diciembre de 2012 se deducen saldos con acreedores </w:t>
      </w:r>
      <w:r w:rsidRPr="00172504">
        <w:rPr>
          <w:rFonts w:cs="Arial"/>
        </w:rPr>
        <w:t>por $ 1</w:t>
      </w:r>
      <w:r>
        <w:rPr>
          <w:rFonts w:cs="Arial"/>
        </w:rPr>
        <w:t xml:space="preserve">.312.717 correspondientes a </w:t>
      </w:r>
      <w:r>
        <w:rPr>
          <w:rFonts w:cs="Arial"/>
        </w:rPr>
        <w:lastRenderedPageBreak/>
        <w:t>ejercicios anteriores, sin exponer el detalle de los mismos. Asimismo, no se ha determinado el importe del pasivo con OSE, el que según información proporcionada por el Ente es de $ 81.328.496.</w:t>
      </w:r>
      <w:r w:rsidRPr="001C028A">
        <w:rPr>
          <w:rFonts w:cs="Arial"/>
        </w:rPr>
        <w:t xml:space="preserve"> Actualmente la</w:t>
      </w:r>
      <w:r>
        <w:rPr>
          <w:rFonts w:cs="Arial"/>
        </w:rPr>
        <w:t xml:space="preserve"> Intendencia paga el consumo mensual y respecto a las obligaciones generadas en ejercicios anteriores inició gestiones a efectos de conciliar el saldo. </w:t>
      </w:r>
      <w:bookmarkStart w:id="26" w:name="_Toc177548569"/>
    </w:p>
    <w:p w:rsidR="00A71BC2" w:rsidRDefault="00A71BC2" w:rsidP="00A71BC2">
      <w:pPr>
        <w:pStyle w:val="Ttulo2"/>
        <w:spacing w:after="0"/>
      </w:pPr>
      <w:bookmarkStart w:id="27" w:name="_Toc371950525"/>
      <w:r w:rsidRPr="0025317E">
        <w:t>3.1.4 Ordenes de pago en tesorería</w:t>
      </w:r>
      <w:bookmarkEnd w:id="27"/>
    </w:p>
    <w:p w:rsidR="00A71BC2" w:rsidRDefault="00A71BC2" w:rsidP="00A71BC2">
      <w:pPr>
        <w:spacing w:after="0" w:line="360" w:lineRule="auto"/>
        <w:rPr>
          <w:rFonts w:cs="Arial"/>
        </w:rPr>
      </w:pPr>
      <w:r>
        <w:rPr>
          <w:rFonts w:cs="Arial"/>
        </w:rPr>
        <w:t xml:space="preserve">De acuerdo a lo establecido a fojas 198 de la Rendición de Cuentas </w:t>
      </w:r>
      <w:r w:rsidRPr="008F10D2">
        <w:rPr>
          <w:rFonts w:cs="Arial"/>
          <w:spacing w:val="6"/>
        </w:rPr>
        <w:t>presentada, hay órdenes de pago en Tesorería al 31/12/12 por un monto de $</w:t>
      </w:r>
      <w:r>
        <w:rPr>
          <w:rFonts w:cs="Arial"/>
        </w:rPr>
        <w:t xml:space="preserve"> 48.044.727, que integran el saldo de las obligaciones presupuestales impagas a esa misma fecha. Asimismo, en el estado de “Movimiento de fondos y valores”, se incluyen las referidas órdenes de pago como un egreso de fondos, lo que es una inconsistencia. </w:t>
      </w:r>
    </w:p>
    <w:p w:rsidR="00A71BC2" w:rsidRPr="0025317E" w:rsidRDefault="00A71BC2" w:rsidP="00A71BC2">
      <w:pPr>
        <w:spacing w:after="0" w:line="360" w:lineRule="auto"/>
        <w:rPr>
          <w:rFonts w:cs="Arial"/>
        </w:rPr>
      </w:pPr>
      <w:r>
        <w:rPr>
          <w:rFonts w:cs="Arial"/>
        </w:rPr>
        <w:t xml:space="preserve">No se ha proporcionado por la Intendencia un detalle de las órdenes de pago en Tesorería al 31/12/12.  </w:t>
      </w:r>
    </w:p>
    <w:p w:rsidR="00A71BC2" w:rsidRDefault="00A71BC2" w:rsidP="00A71BC2">
      <w:pPr>
        <w:pStyle w:val="Ttulo2"/>
        <w:numPr>
          <w:ilvl w:val="1"/>
          <w:numId w:val="4"/>
        </w:numPr>
        <w:spacing w:after="0"/>
        <w:jc w:val="both"/>
        <w:rPr>
          <w:rFonts w:cs="Arial"/>
        </w:rPr>
      </w:pPr>
      <w:bookmarkStart w:id="28" w:name="_Toc343587259"/>
      <w:bookmarkStart w:id="29" w:name="_Toc371950526"/>
      <w:r>
        <w:rPr>
          <w:rFonts w:cs="Arial"/>
        </w:rPr>
        <w:t>Constataciones</w:t>
      </w:r>
      <w:bookmarkEnd w:id="28"/>
      <w:bookmarkEnd w:id="29"/>
      <w:r>
        <w:rPr>
          <w:rFonts w:cs="Arial"/>
        </w:rPr>
        <w:t xml:space="preserve"> </w:t>
      </w:r>
      <w:bookmarkStart w:id="30" w:name="_Toc343587260"/>
      <w:bookmarkStart w:id="31" w:name="_Toc147733823"/>
      <w:bookmarkStart w:id="32" w:name="_Toc176148651"/>
      <w:bookmarkStart w:id="33" w:name="_Toc176148750"/>
      <w:bookmarkStart w:id="34" w:name="_Toc176149134"/>
      <w:bookmarkStart w:id="35" w:name="_Toc177548570"/>
      <w:bookmarkEnd w:id="26"/>
    </w:p>
    <w:p w:rsidR="00A71BC2" w:rsidRDefault="00A71BC2" w:rsidP="00A71BC2">
      <w:pPr>
        <w:pStyle w:val="Ttulo2"/>
        <w:jc w:val="both"/>
        <w:rPr>
          <w:rFonts w:cs="Arial"/>
        </w:rPr>
      </w:pPr>
      <w:bookmarkStart w:id="36" w:name="_Toc371950527"/>
      <w:r>
        <w:rPr>
          <w:rFonts w:cs="Arial"/>
        </w:rPr>
        <w:t>3.2.1 Juicios  contra la Intendencia</w:t>
      </w:r>
      <w:bookmarkEnd w:id="30"/>
      <w:bookmarkEnd w:id="36"/>
      <w:r>
        <w:rPr>
          <w:rFonts w:cs="Arial"/>
        </w:rPr>
        <w:t xml:space="preserve"> </w:t>
      </w:r>
      <w:bookmarkEnd w:id="31"/>
      <w:bookmarkEnd w:id="32"/>
      <w:bookmarkEnd w:id="33"/>
      <w:bookmarkEnd w:id="34"/>
      <w:bookmarkEnd w:id="35"/>
    </w:p>
    <w:p w:rsidR="00A71BC2" w:rsidRDefault="00A71BC2" w:rsidP="00A71BC2">
      <w:pPr>
        <w:spacing w:after="0" w:line="360" w:lineRule="auto"/>
        <w:rPr>
          <w:rFonts w:cs="Arial"/>
        </w:rPr>
      </w:pPr>
      <w:r>
        <w:rPr>
          <w:rFonts w:cs="Arial"/>
        </w:rPr>
        <w:t xml:space="preserve">De acuerdo con la información presentada en la Rendición de Cuentas, al 31/12/12 existían juicios contra la Intendencia por montos reclamados del orden de </w:t>
      </w:r>
      <w:r w:rsidRPr="0086464E">
        <w:rPr>
          <w:rFonts w:cs="Arial"/>
        </w:rPr>
        <w:t>$ 31</w:t>
      </w:r>
      <w:r>
        <w:rPr>
          <w:rFonts w:cs="Arial"/>
        </w:rPr>
        <w:t>.</w:t>
      </w:r>
      <w:r w:rsidRPr="0086464E">
        <w:rPr>
          <w:rFonts w:cs="Arial"/>
        </w:rPr>
        <w:t>380.472 y U$S 738.000</w:t>
      </w:r>
      <w:r>
        <w:rPr>
          <w:rFonts w:cs="Arial"/>
        </w:rPr>
        <w:t xml:space="preserve"> más algunos montos a determinar, lo que podría incidir en el déficit acumulado por las posibles erogaciones que resulten. </w:t>
      </w:r>
    </w:p>
    <w:p w:rsidR="00A71BC2" w:rsidRDefault="00A71BC2" w:rsidP="00A71BC2">
      <w:pPr>
        <w:pStyle w:val="Ttulo2"/>
        <w:jc w:val="both"/>
        <w:rPr>
          <w:rFonts w:cs="Arial"/>
        </w:rPr>
      </w:pPr>
      <w:bookmarkStart w:id="37" w:name="_Toc343587261"/>
      <w:bookmarkStart w:id="38" w:name="_Toc371950528"/>
      <w:r>
        <w:rPr>
          <w:rFonts w:cs="Arial"/>
        </w:rPr>
        <w:t xml:space="preserve">3.2.2  Administración de las Termas de </w:t>
      </w:r>
      <w:proofErr w:type="spellStart"/>
      <w:r>
        <w:rPr>
          <w:rFonts w:cs="Arial"/>
        </w:rPr>
        <w:t>Guaviyú</w:t>
      </w:r>
      <w:proofErr w:type="spellEnd"/>
      <w:r>
        <w:rPr>
          <w:rFonts w:cs="Arial"/>
        </w:rPr>
        <w:t xml:space="preserve"> y Almirón</w:t>
      </w:r>
      <w:bookmarkEnd w:id="37"/>
      <w:bookmarkEnd w:id="38"/>
    </w:p>
    <w:p w:rsidR="00A71BC2" w:rsidRDefault="00A71BC2" w:rsidP="00A71BC2">
      <w:pPr>
        <w:pStyle w:val="Textoindependiente"/>
        <w:spacing w:after="0" w:line="360" w:lineRule="auto"/>
        <w:rPr>
          <w:rFonts w:cs="Arial"/>
        </w:rPr>
      </w:pPr>
      <w:r w:rsidRPr="001017E4">
        <w:rPr>
          <w:rFonts w:cs="Arial"/>
        </w:rPr>
        <w:t xml:space="preserve">Los ingresos de </w:t>
      </w:r>
      <w:r>
        <w:rPr>
          <w:rFonts w:cs="Arial"/>
        </w:rPr>
        <w:t>T</w:t>
      </w:r>
      <w:r w:rsidRPr="001017E4">
        <w:rPr>
          <w:rFonts w:cs="Arial"/>
        </w:rPr>
        <w:t xml:space="preserve">ermas de </w:t>
      </w:r>
      <w:proofErr w:type="spellStart"/>
      <w:r w:rsidRPr="001017E4">
        <w:rPr>
          <w:rFonts w:cs="Arial"/>
        </w:rPr>
        <w:t>Guaviyú</w:t>
      </w:r>
      <w:proofErr w:type="spellEnd"/>
      <w:r w:rsidRPr="001017E4">
        <w:rPr>
          <w:rFonts w:cs="Arial"/>
        </w:rPr>
        <w:t xml:space="preserve"> correspondientes a noviembre de 2012 se contabilizaron en enero de 2013 y los correspondientes a diciembre 2012 en marzo de 2013. Por otra parte, las recaudaciones de </w:t>
      </w:r>
      <w:r>
        <w:rPr>
          <w:rFonts w:cs="Arial"/>
        </w:rPr>
        <w:t>T</w:t>
      </w:r>
      <w:r w:rsidRPr="001017E4">
        <w:rPr>
          <w:rFonts w:cs="Arial"/>
        </w:rPr>
        <w:t>ermas de Almirón correspondientes</w:t>
      </w:r>
      <w:r>
        <w:rPr>
          <w:rFonts w:cs="Arial"/>
        </w:rPr>
        <w:t xml:space="preserve"> a diciembre de 2012 se contabilizaron en marzo de 2013. </w:t>
      </w:r>
    </w:p>
    <w:p w:rsidR="00A71BC2" w:rsidRDefault="00A71BC2" w:rsidP="00A71BC2">
      <w:pPr>
        <w:pStyle w:val="Ttulo2"/>
        <w:jc w:val="both"/>
        <w:rPr>
          <w:rFonts w:cs="Arial"/>
        </w:rPr>
      </w:pPr>
      <w:bookmarkStart w:id="39" w:name="_Toc343587262"/>
      <w:bookmarkStart w:id="40" w:name="_Toc371950529"/>
      <w:r>
        <w:rPr>
          <w:rFonts w:cs="Arial"/>
        </w:rPr>
        <w:t>3.2.3 Deudas con Organismos públicos</w:t>
      </w:r>
      <w:bookmarkEnd w:id="39"/>
      <w:bookmarkEnd w:id="40"/>
    </w:p>
    <w:p w:rsidR="00A71BC2" w:rsidRDefault="00A71BC2" w:rsidP="00A71BC2">
      <w:pPr>
        <w:pStyle w:val="Textoindependiente"/>
        <w:spacing w:line="360" w:lineRule="auto"/>
        <w:rPr>
          <w:rFonts w:cs="Arial"/>
          <w:lang w:val="es-ES"/>
        </w:rPr>
      </w:pPr>
      <w:r>
        <w:rPr>
          <w:rFonts w:cs="Arial"/>
          <w:lang w:val="es-ES"/>
        </w:rPr>
        <w:t xml:space="preserve">No se presenta en forma separada la composición de las deudas por este concepto, según se trate de obligaciones corrientes o convenios de pago, en </w:t>
      </w:r>
      <w:r>
        <w:rPr>
          <w:rFonts w:cs="Arial"/>
          <w:lang w:val="es-ES"/>
        </w:rPr>
        <w:lastRenderedPageBreak/>
        <w:t>particular con ANTEL, ni las respectivas conciliaciones con los saldos proporcionados por aquéllos, por las eventuales diferencias que pudieran existir. Tampoco se presenta a cuánto asciende la deuda con OSE.</w:t>
      </w:r>
    </w:p>
    <w:p w:rsidR="00A71BC2" w:rsidRDefault="00A71BC2" w:rsidP="00A71BC2">
      <w:pPr>
        <w:pStyle w:val="Ttulo2"/>
        <w:jc w:val="both"/>
        <w:rPr>
          <w:rFonts w:cs="Arial"/>
        </w:rPr>
      </w:pPr>
      <w:bookmarkStart w:id="41" w:name="_Toc343587264"/>
      <w:bookmarkStart w:id="42" w:name="_Toc371950530"/>
      <w:r>
        <w:rPr>
          <w:rFonts w:cs="Arial"/>
        </w:rPr>
        <w:t>3.3   Incumplimiento de normas</w:t>
      </w:r>
      <w:bookmarkEnd w:id="41"/>
      <w:bookmarkEnd w:id="42"/>
      <w:r>
        <w:rPr>
          <w:rFonts w:cs="Arial"/>
        </w:rPr>
        <w:t xml:space="preserve"> </w:t>
      </w:r>
    </w:p>
    <w:p w:rsidR="00A71BC2" w:rsidRDefault="00A71BC2" w:rsidP="00A71BC2">
      <w:pPr>
        <w:pStyle w:val="Ttulo2"/>
        <w:jc w:val="both"/>
        <w:rPr>
          <w:rFonts w:cs="Arial"/>
        </w:rPr>
      </w:pPr>
      <w:bookmarkStart w:id="43" w:name="_Toc177977158"/>
      <w:bookmarkStart w:id="44" w:name="_Toc179282312"/>
      <w:bookmarkStart w:id="45" w:name="_Toc310948780"/>
      <w:bookmarkStart w:id="46" w:name="_Toc343587265"/>
      <w:bookmarkStart w:id="47" w:name="_Toc371950531"/>
      <w:bookmarkStart w:id="48" w:name="_Toc177548579"/>
      <w:r>
        <w:rPr>
          <w:rFonts w:cs="Arial"/>
        </w:rPr>
        <w:t>3.3.1 Estructura orgánica</w:t>
      </w:r>
      <w:bookmarkEnd w:id="43"/>
      <w:bookmarkEnd w:id="44"/>
      <w:bookmarkEnd w:id="45"/>
      <w:bookmarkEnd w:id="46"/>
      <w:bookmarkEnd w:id="47"/>
      <w:r>
        <w:rPr>
          <w:rFonts w:cs="Arial"/>
        </w:rPr>
        <w:t xml:space="preserve">              </w:t>
      </w:r>
    </w:p>
    <w:p w:rsidR="00A71BC2" w:rsidRDefault="00A71BC2" w:rsidP="00A71BC2">
      <w:pPr>
        <w:pStyle w:val="Textoindependiente"/>
        <w:spacing w:line="360" w:lineRule="auto"/>
        <w:rPr>
          <w:rFonts w:cs="Arial"/>
        </w:rPr>
      </w:pPr>
      <w:r>
        <w:rPr>
          <w:rFonts w:cs="Arial"/>
        </w:rPr>
        <w:t xml:space="preserve">Se constató que durante el ejercicio 2012 la cantidad de funcionarios en la Intendencia, entre presupuestados y contratados excedió a la prevista presupuestalmente. Por lo expuesto, la Intendencia no se ajustó a la estructura orgánica administrativa que fuera aprobada por la Junta Departamental en el Presupuesto Quinquenal 2011-2015 e incumplió además con el Artículo 86 de la Constitución de la República. </w:t>
      </w:r>
    </w:p>
    <w:p w:rsidR="00A71BC2" w:rsidRPr="00CF530B" w:rsidRDefault="00A71BC2" w:rsidP="00A71BC2">
      <w:pPr>
        <w:pStyle w:val="Ttulo2"/>
      </w:pPr>
      <w:bookmarkStart w:id="49" w:name="_Toc371950532"/>
      <w:r w:rsidRPr="00CF530B">
        <w:t xml:space="preserve">3.3.2 </w:t>
      </w:r>
      <w:r>
        <w:t>Compensaciones</w:t>
      </w:r>
      <w:bookmarkEnd w:id="49"/>
    </w:p>
    <w:p w:rsidR="00A71BC2" w:rsidRDefault="00A71BC2" w:rsidP="00A71BC2">
      <w:pPr>
        <w:pStyle w:val="Textoindependiente"/>
        <w:spacing w:line="360" w:lineRule="auto"/>
        <w:rPr>
          <w:rFonts w:cs="Arial"/>
        </w:rPr>
      </w:pPr>
      <w:r w:rsidRPr="009632D0">
        <w:rPr>
          <w:rFonts w:cs="Arial"/>
        </w:rPr>
        <w:t>Por Resolución 222/11 se estableció a partir del 1/1/11, una compensación de gastos de representación equivalente al 50% de lo fijado para el Intendente</w:t>
      </w:r>
      <w:r>
        <w:rPr>
          <w:rFonts w:cs="Arial"/>
        </w:rPr>
        <w:t xml:space="preserve"> para los Directores Generales, que no fue prevista presupuestalmente. Asimismo, se abonaron a los funcionarios que trabajan en las Termas de </w:t>
      </w:r>
      <w:proofErr w:type="spellStart"/>
      <w:r>
        <w:rPr>
          <w:rFonts w:cs="Arial"/>
        </w:rPr>
        <w:t>Guaviyú</w:t>
      </w:r>
      <w:proofErr w:type="spellEnd"/>
      <w:r>
        <w:rPr>
          <w:rFonts w:cs="Arial"/>
        </w:rPr>
        <w:t xml:space="preserve"> una compensación mediante una partida por capacitación y transporte. Ninguna de las compensaciones abonadas fue establecida en la instancia presupuestal.</w:t>
      </w:r>
    </w:p>
    <w:p w:rsidR="00A71BC2" w:rsidRPr="00270905" w:rsidRDefault="00A71BC2" w:rsidP="00A71BC2">
      <w:pPr>
        <w:pStyle w:val="Ttulo2"/>
        <w:spacing w:after="0"/>
      </w:pPr>
      <w:bookmarkStart w:id="50" w:name="_Toc371950533"/>
      <w:r w:rsidRPr="00270905">
        <w:t>3.3.3 Artículos 268 y 289 de la Constitución de la República</w:t>
      </w:r>
      <w:bookmarkEnd w:id="50"/>
    </w:p>
    <w:p w:rsidR="00A71BC2" w:rsidRPr="00D028F7" w:rsidRDefault="00A71BC2" w:rsidP="00A71BC2">
      <w:pPr>
        <w:autoSpaceDE w:val="0"/>
        <w:autoSpaceDN w:val="0"/>
        <w:adjustRightInd w:val="0"/>
        <w:spacing w:after="0" w:line="360" w:lineRule="auto"/>
        <w:rPr>
          <w:rFonts w:cs="Arial"/>
        </w:rPr>
      </w:pPr>
      <w:r w:rsidRPr="00D028F7">
        <w:rPr>
          <w:rFonts w:cs="Arial"/>
          <w:szCs w:val="24"/>
          <w:lang w:eastAsia="es-UY"/>
        </w:rPr>
        <w:t xml:space="preserve">De acuerdo con la legislación aplicable tanto el Dr. Leoni como el Sr. </w:t>
      </w:r>
      <w:proofErr w:type="spellStart"/>
      <w:r w:rsidRPr="00D028F7">
        <w:rPr>
          <w:rFonts w:cs="Arial"/>
          <w:szCs w:val="24"/>
          <w:lang w:eastAsia="es-UY"/>
        </w:rPr>
        <w:t>Sconamiglio</w:t>
      </w:r>
      <w:proofErr w:type="spellEnd"/>
      <w:r>
        <w:rPr>
          <w:rFonts w:cs="Arial"/>
          <w:szCs w:val="24"/>
          <w:lang w:eastAsia="es-UY"/>
        </w:rPr>
        <w:t xml:space="preserve"> que ejercieran el cargo de Intendente interino</w:t>
      </w:r>
      <w:r w:rsidRPr="00D028F7">
        <w:rPr>
          <w:rFonts w:cs="Arial"/>
          <w:szCs w:val="24"/>
          <w:lang w:eastAsia="es-UY"/>
        </w:rPr>
        <w:t>, al ser “titulares de otros cargos o empleos públicos, o percibiendo retribución por servicios de empresas que contratan con el gobierno Departamental” se encuentran alcanzados por las incompatibilidades establecidas por el art. 289 de la Constitución</w:t>
      </w:r>
      <w:r>
        <w:rPr>
          <w:rFonts w:cs="Arial"/>
          <w:szCs w:val="24"/>
          <w:lang w:eastAsia="es-UY"/>
        </w:rPr>
        <w:t xml:space="preserve"> de la República</w:t>
      </w:r>
      <w:r w:rsidRPr="00D028F7">
        <w:rPr>
          <w:rFonts w:cs="Arial"/>
          <w:szCs w:val="24"/>
          <w:lang w:eastAsia="es-UY"/>
        </w:rPr>
        <w:t xml:space="preserve">. Dichas incompatibilidades no fueron subsanadas, </w:t>
      </w:r>
      <w:r w:rsidRPr="00D028F7">
        <w:rPr>
          <w:rFonts w:cs="Arial"/>
          <w:szCs w:val="24"/>
          <w:lang w:eastAsia="es-UY"/>
        </w:rPr>
        <w:lastRenderedPageBreak/>
        <w:t xml:space="preserve">ya que el vínculo funcional no fue disuelto por renuncia o despido sino que simplemente se les suspendió en el ejercicio del cargo por un corto período. Por lo tanto el Dr. Leoni como el Sr. </w:t>
      </w:r>
      <w:proofErr w:type="spellStart"/>
      <w:r w:rsidRPr="00D028F7">
        <w:rPr>
          <w:rFonts w:cs="Arial"/>
          <w:szCs w:val="24"/>
          <w:lang w:eastAsia="es-UY"/>
        </w:rPr>
        <w:t>Sconamiglio</w:t>
      </w:r>
      <w:proofErr w:type="spellEnd"/>
      <w:r w:rsidRPr="00D028F7">
        <w:rPr>
          <w:rFonts w:cs="Arial"/>
          <w:szCs w:val="24"/>
          <w:lang w:eastAsia="es-UY"/>
        </w:rPr>
        <w:t xml:space="preserve"> </w:t>
      </w:r>
      <w:proofErr w:type="gramStart"/>
      <w:r w:rsidRPr="00D028F7">
        <w:rPr>
          <w:rFonts w:cs="Arial"/>
          <w:szCs w:val="24"/>
          <w:lang w:eastAsia="es-UY"/>
        </w:rPr>
        <w:t>debieron</w:t>
      </w:r>
      <w:proofErr w:type="gramEnd"/>
      <w:r w:rsidRPr="00D028F7">
        <w:rPr>
          <w:rFonts w:cs="Arial"/>
          <w:szCs w:val="24"/>
          <w:lang w:eastAsia="es-UY"/>
        </w:rPr>
        <w:t xml:space="preserve"> de renunciar a sus cargos en la Intendencia o, en su defecto, no aceptar el cargo de Intendente Interino. Al no existir en la lista de suplentes otros candidatos que pudieran aceptar el cargo de Intendente, debió de haberse procedido de acuerdo a lo previsto por el art. 268 de la Constitución</w:t>
      </w:r>
      <w:r>
        <w:rPr>
          <w:rFonts w:cs="Arial"/>
          <w:szCs w:val="24"/>
          <w:lang w:eastAsia="es-UY"/>
        </w:rPr>
        <w:t xml:space="preserve"> de la República</w:t>
      </w:r>
      <w:r w:rsidRPr="00D028F7">
        <w:rPr>
          <w:rFonts w:cs="Arial"/>
          <w:szCs w:val="24"/>
          <w:lang w:eastAsia="es-UY"/>
        </w:rPr>
        <w:t>, ejerciendo el cargo de Intendente el Presidente de la Junta Departamental, y en su defecto el Vicepresidente.</w:t>
      </w:r>
    </w:p>
    <w:p w:rsidR="00A71BC2" w:rsidRDefault="00A71BC2" w:rsidP="00A71BC2">
      <w:pPr>
        <w:pStyle w:val="Ttulo2"/>
        <w:spacing w:after="0"/>
        <w:jc w:val="both"/>
        <w:rPr>
          <w:rFonts w:cs="Arial"/>
        </w:rPr>
      </w:pPr>
      <w:bookmarkStart w:id="51" w:name="_Toc371950534"/>
      <w:bookmarkStart w:id="52" w:name="_Toc343587266"/>
      <w:bookmarkStart w:id="53" w:name="_Toc177548580"/>
      <w:bookmarkEnd w:id="48"/>
      <w:r>
        <w:rPr>
          <w:rFonts w:cs="Arial"/>
        </w:rPr>
        <w:t>3.3.4 Facturación de servicios de camping</w:t>
      </w:r>
      <w:bookmarkEnd w:id="51"/>
      <w:r>
        <w:rPr>
          <w:rFonts w:cs="Arial"/>
        </w:rPr>
        <w:t xml:space="preserve"> </w:t>
      </w:r>
      <w:bookmarkEnd w:id="52"/>
    </w:p>
    <w:p w:rsidR="00A71BC2" w:rsidRDefault="00A71BC2" w:rsidP="00A71BC2">
      <w:pPr>
        <w:pStyle w:val="Textoindependiente"/>
        <w:spacing w:after="0" w:line="360" w:lineRule="auto"/>
        <w:rPr>
          <w:rFonts w:cs="Arial"/>
          <w:lang w:val="es-ES"/>
        </w:rPr>
      </w:pPr>
      <w:r>
        <w:rPr>
          <w:rFonts w:cs="Arial"/>
          <w:lang w:val="es-ES"/>
        </w:rPr>
        <w:t>Los servicios de camping facturados a los usuarios, no incluyeron el IVA a la tasa básica tal como lo dispone la Ley Nº 18.083 y Artículo 101 del Decreto Nº 220/98.</w:t>
      </w:r>
      <w:r>
        <w:rPr>
          <w:rFonts w:cs="Arial"/>
        </w:rPr>
        <w:t xml:space="preserve"> </w:t>
      </w:r>
    </w:p>
    <w:p w:rsidR="00A71BC2" w:rsidRDefault="00A71BC2" w:rsidP="00A71BC2">
      <w:pPr>
        <w:pStyle w:val="Ttulo2"/>
        <w:jc w:val="both"/>
        <w:rPr>
          <w:rFonts w:cs="Arial"/>
        </w:rPr>
      </w:pPr>
      <w:bookmarkStart w:id="54" w:name="_Toc343587268"/>
      <w:bookmarkStart w:id="55" w:name="_Toc371950535"/>
      <w:r>
        <w:rPr>
          <w:rFonts w:cs="Arial"/>
        </w:rPr>
        <w:t>3.3.5 Resolución del Tribunal de Cuentas de fecha 28 de enero de 2004</w:t>
      </w:r>
      <w:bookmarkEnd w:id="54"/>
      <w:bookmarkEnd w:id="55"/>
    </w:p>
    <w:p w:rsidR="00A71BC2" w:rsidRDefault="00A71BC2" w:rsidP="00A71BC2">
      <w:pPr>
        <w:pStyle w:val="Textoindependiente"/>
        <w:spacing w:after="0" w:line="360" w:lineRule="auto"/>
        <w:rPr>
          <w:rFonts w:cs="Arial"/>
          <w:lang w:val="es-ES"/>
        </w:rPr>
      </w:pPr>
      <w:r>
        <w:rPr>
          <w:rFonts w:cs="Arial"/>
          <w:lang w:val="es-ES"/>
        </w:rPr>
        <w:t xml:space="preserve">La Intendencia no cumplió con dicha Resolución por los siguientes motivos: </w:t>
      </w:r>
    </w:p>
    <w:p w:rsidR="00A71BC2" w:rsidRDefault="00A71BC2" w:rsidP="00A71BC2">
      <w:pPr>
        <w:pStyle w:val="Textoindependiente"/>
        <w:numPr>
          <w:ilvl w:val="0"/>
          <w:numId w:val="6"/>
        </w:numPr>
        <w:tabs>
          <w:tab w:val="num" w:pos="397"/>
        </w:tabs>
        <w:spacing w:after="0" w:line="360" w:lineRule="auto"/>
        <w:ind w:left="397" w:hanging="397"/>
        <w:rPr>
          <w:rFonts w:cs="Arial"/>
          <w:lang w:val="es-ES"/>
        </w:rPr>
      </w:pPr>
      <w:r>
        <w:rPr>
          <w:rFonts w:cs="Arial"/>
          <w:lang w:val="es-ES"/>
        </w:rPr>
        <w:t>Estado Nº 6. Movimientos de Fondos y Valores: Las órdenes de pago en Tesorería se presentan como un egreso a la vez que forman parte de las obligaciones presupuestales impagas.</w:t>
      </w:r>
    </w:p>
    <w:p w:rsidR="00A71BC2" w:rsidRDefault="00A71BC2" w:rsidP="00A71BC2">
      <w:pPr>
        <w:pStyle w:val="Textoindependiente"/>
        <w:numPr>
          <w:ilvl w:val="0"/>
          <w:numId w:val="6"/>
        </w:numPr>
        <w:tabs>
          <w:tab w:val="num" w:pos="397"/>
        </w:tabs>
        <w:spacing w:after="0" w:line="360" w:lineRule="auto"/>
        <w:ind w:left="397" w:hanging="397"/>
        <w:rPr>
          <w:rFonts w:cs="Arial"/>
          <w:lang w:val="es-ES"/>
        </w:rPr>
      </w:pPr>
      <w:r>
        <w:rPr>
          <w:rFonts w:cs="Arial"/>
          <w:lang w:val="es-ES"/>
        </w:rPr>
        <w:t xml:space="preserve">Estado Nº 8. Obligaciones Presupuestales Impagas: No se establecen los  fundamentos de la baja de algunas obligaciones. </w:t>
      </w:r>
    </w:p>
    <w:p w:rsidR="00A71BC2" w:rsidRDefault="00A71BC2" w:rsidP="00A71BC2">
      <w:pPr>
        <w:pStyle w:val="Textoindependiente"/>
        <w:numPr>
          <w:ilvl w:val="0"/>
          <w:numId w:val="6"/>
        </w:numPr>
        <w:tabs>
          <w:tab w:val="num" w:pos="397"/>
        </w:tabs>
        <w:spacing w:after="0" w:line="360" w:lineRule="auto"/>
        <w:ind w:left="397" w:hanging="397"/>
        <w:rPr>
          <w:rFonts w:cs="Arial"/>
          <w:lang w:val="es-ES"/>
        </w:rPr>
      </w:pPr>
      <w:r>
        <w:rPr>
          <w:rFonts w:cs="Arial"/>
          <w:lang w:val="es-ES"/>
        </w:rPr>
        <w:t xml:space="preserve">Estado Nº 10. Evolución de los Convenios: No se exponen los movimientos del ejercicio. </w:t>
      </w:r>
    </w:p>
    <w:p w:rsidR="00A71BC2" w:rsidRDefault="00A71BC2" w:rsidP="00A71BC2">
      <w:pPr>
        <w:pStyle w:val="Textoindependiente"/>
        <w:numPr>
          <w:ilvl w:val="0"/>
          <w:numId w:val="6"/>
        </w:numPr>
        <w:tabs>
          <w:tab w:val="num" w:pos="397"/>
        </w:tabs>
        <w:spacing w:after="0" w:line="360" w:lineRule="auto"/>
        <w:ind w:left="397" w:hanging="397"/>
        <w:rPr>
          <w:rFonts w:cs="Arial"/>
          <w:lang w:val="es-ES"/>
        </w:rPr>
      </w:pPr>
      <w:r>
        <w:rPr>
          <w:rFonts w:cs="Arial"/>
          <w:lang w:val="es-ES"/>
        </w:rPr>
        <w:t xml:space="preserve">Estado Nº 13. Fondos </w:t>
      </w:r>
      <w:proofErr w:type="spellStart"/>
      <w:r>
        <w:rPr>
          <w:rFonts w:cs="Arial"/>
          <w:lang w:val="es-ES"/>
        </w:rPr>
        <w:t>Extrapresupuestales</w:t>
      </w:r>
      <w:proofErr w:type="spellEnd"/>
      <w:r>
        <w:rPr>
          <w:rFonts w:cs="Arial"/>
          <w:lang w:val="es-ES"/>
        </w:rPr>
        <w:t>: Su presentación no se ajusta a dicha norma.</w:t>
      </w:r>
    </w:p>
    <w:p w:rsidR="00A71BC2" w:rsidRDefault="00A71BC2" w:rsidP="00A71BC2">
      <w:pPr>
        <w:pStyle w:val="Textoindependiente"/>
        <w:numPr>
          <w:ilvl w:val="0"/>
          <w:numId w:val="6"/>
        </w:numPr>
        <w:tabs>
          <w:tab w:val="num" w:pos="397"/>
        </w:tabs>
        <w:spacing w:after="0" w:line="360" w:lineRule="auto"/>
        <w:ind w:left="397" w:hanging="397"/>
        <w:rPr>
          <w:rFonts w:cs="Arial"/>
          <w:lang w:val="es-ES"/>
        </w:rPr>
      </w:pPr>
      <w:r>
        <w:rPr>
          <w:rFonts w:cs="Arial"/>
          <w:lang w:val="es-ES"/>
        </w:rPr>
        <w:t xml:space="preserve">Estado Nº 14: Resultado  Acumulado: Se incluyeron partidas en el activo que no corresponden. Asimismo, se incluyen una partida de </w:t>
      </w:r>
      <w:proofErr w:type="spellStart"/>
      <w:r>
        <w:rPr>
          <w:rFonts w:cs="Arial"/>
          <w:lang w:val="es-ES"/>
        </w:rPr>
        <w:t>extrapresupuesto</w:t>
      </w:r>
      <w:proofErr w:type="spellEnd"/>
      <w:r>
        <w:rPr>
          <w:rFonts w:cs="Arial"/>
          <w:lang w:val="es-ES"/>
        </w:rPr>
        <w:t xml:space="preserve"> a cobrar y otra de </w:t>
      </w:r>
      <w:proofErr w:type="spellStart"/>
      <w:r>
        <w:rPr>
          <w:rFonts w:cs="Arial"/>
          <w:lang w:val="es-ES"/>
        </w:rPr>
        <w:t>extrapresupuesto</w:t>
      </w:r>
      <w:proofErr w:type="spellEnd"/>
      <w:r>
        <w:rPr>
          <w:rFonts w:cs="Arial"/>
          <w:lang w:val="es-ES"/>
        </w:rPr>
        <w:t xml:space="preserve"> a pagar, que no resultan del estado respectivo.</w:t>
      </w:r>
    </w:p>
    <w:p w:rsidR="00A71BC2" w:rsidRDefault="00A71BC2" w:rsidP="00A71BC2">
      <w:pPr>
        <w:pStyle w:val="Ttulo2"/>
        <w:jc w:val="both"/>
        <w:rPr>
          <w:rFonts w:cs="Arial"/>
        </w:rPr>
      </w:pPr>
      <w:bookmarkStart w:id="56" w:name="_Toc178494004"/>
      <w:bookmarkStart w:id="57" w:name="_Toc343587269"/>
      <w:bookmarkStart w:id="58" w:name="_Toc371950536"/>
      <w:bookmarkEnd w:id="53"/>
      <w:r>
        <w:rPr>
          <w:rFonts w:cs="Arial"/>
        </w:rPr>
        <w:lastRenderedPageBreak/>
        <w:t>3.4 Debilidades de Control Interno</w:t>
      </w:r>
      <w:bookmarkEnd w:id="56"/>
      <w:bookmarkEnd w:id="57"/>
      <w:bookmarkEnd w:id="58"/>
    </w:p>
    <w:p w:rsidR="00A71BC2" w:rsidRDefault="00A71BC2" w:rsidP="00A71BC2">
      <w:pPr>
        <w:pStyle w:val="Ttulo2"/>
        <w:jc w:val="both"/>
        <w:rPr>
          <w:rFonts w:cs="Arial"/>
          <w:lang w:val="es-ES_tradnl"/>
        </w:rPr>
      </w:pPr>
      <w:bookmarkStart w:id="59" w:name="_Toc178494005"/>
      <w:bookmarkStart w:id="60" w:name="_Toc343587270"/>
      <w:bookmarkStart w:id="61" w:name="_Toc371950537"/>
      <w:r>
        <w:rPr>
          <w:rFonts w:cs="Arial"/>
        </w:rPr>
        <w:t>3.4.1 Respecto a recursos y manejo de fondos</w:t>
      </w:r>
      <w:bookmarkEnd w:id="59"/>
      <w:bookmarkEnd w:id="60"/>
      <w:bookmarkEnd w:id="61"/>
    </w:p>
    <w:p w:rsidR="00A71BC2" w:rsidRDefault="00A71BC2" w:rsidP="00A71BC2">
      <w:pPr>
        <w:pStyle w:val="Textoindependiente"/>
        <w:numPr>
          <w:ilvl w:val="0"/>
          <w:numId w:val="2"/>
        </w:numPr>
        <w:tabs>
          <w:tab w:val="num" w:pos="397"/>
          <w:tab w:val="num" w:pos="567"/>
        </w:tabs>
        <w:spacing w:after="0" w:line="360" w:lineRule="auto"/>
        <w:ind w:left="397" w:hanging="397"/>
        <w:rPr>
          <w:rFonts w:cs="Arial"/>
          <w:lang w:val="es-ES"/>
        </w:rPr>
      </w:pPr>
      <w:r>
        <w:rPr>
          <w:rFonts w:cs="Arial"/>
          <w:lang w:val="es-ES"/>
        </w:rPr>
        <w:t>No se mantiene un compendio de todas las normas tributarias aplicadas por la Intendencia.</w:t>
      </w:r>
    </w:p>
    <w:p w:rsidR="00A71BC2" w:rsidRDefault="00A71BC2" w:rsidP="00A71BC2">
      <w:pPr>
        <w:pStyle w:val="Textoindependiente"/>
        <w:numPr>
          <w:ilvl w:val="0"/>
          <w:numId w:val="2"/>
        </w:numPr>
        <w:tabs>
          <w:tab w:val="num" w:pos="397"/>
          <w:tab w:val="num" w:pos="567"/>
        </w:tabs>
        <w:spacing w:after="0" w:line="360" w:lineRule="auto"/>
        <w:ind w:left="397" w:hanging="397"/>
        <w:rPr>
          <w:rFonts w:cs="Arial"/>
          <w:lang w:val="es-ES"/>
        </w:rPr>
      </w:pPr>
      <w:r>
        <w:rPr>
          <w:rFonts w:cs="Arial"/>
          <w:lang w:val="es-ES"/>
        </w:rPr>
        <w:t>Al momento de practicar los arqueos de fondos de la “Caja Sueldos” en Tesorería, se carece de información del saldo contable en el sistema correspondiente a las partidas pendientes de entrega, a efectos de cotejar que los montos recontados por este concepto sean coincidentes con aquéllos.</w:t>
      </w:r>
    </w:p>
    <w:p w:rsidR="00A71BC2" w:rsidRDefault="00A71BC2" w:rsidP="00A71BC2">
      <w:pPr>
        <w:pStyle w:val="Textoindependiente"/>
        <w:numPr>
          <w:ilvl w:val="0"/>
          <w:numId w:val="2"/>
        </w:numPr>
        <w:tabs>
          <w:tab w:val="num" w:pos="397"/>
          <w:tab w:val="num" w:pos="567"/>
        </w:tabs>
        <w:spacing w:after="0" w:line="360" w:lineRule="auto"/>
        <w:ind w:left="397" w:hanging="397"/>
        <w:rPr>
          <w:rFonts w:cs="Arial"/>
          <w:lang w:val="es-ES"/>
        </w:rPr>
      </w:pPr>
      <w:r>
        <w:rPr>
          <w:rFonts w:cs="Arial"/>
          <w:lang w:val="es-ES"/>
        </w:rPr>
        <w:t>En los arqueos de valores que se adjuntan en el documento, no consta el recuento de los depósitos en garantía que se encuentran en la Tesorería de la Intendencia.</w:t>
      </w:r>
    </w:p>
    <w:p w:rsidR="00A71BC2" w:rsidRDefault="00A71BC2" w:rsidP="00A71BC2">
      <w:pPr>
        <w:pStyle w:val="Textoindependiente"/>
        <w:numPr>
          <w:ilvl w:val="0"/>
          <w:numId w:val="2"/>
        </w:numPr>
        <w:tabs>
          <w:tab w:val="num" w:pos="397"/>
          <w:tab w:val="num" w:pos="567"/>
        </w:tabs>
        <w:spacing w:after="0" w:line="360" w:lineRule="auto"/>
        <w:ind w:left="397" w:hanging="397"/>
        <w:rPr>
          <w:rFonts w:cs="Arial"/>
          <w:lang w:val="es-ES"/>
        </w:rPr>
      </w:pPr>
      <w:r w:rsidRPr="003A2B1A">
        <w:rPr>
          <w:rFonts w:cs="Arial"/>
          <w:lang w:val="es-ES"/>
        </w:rPr>
        <w:t>En el caso de las Termas no se utiliza la opción dentro del menú del sistema de Recaudación que permite ingresar los importes correspondientes a dicha recaudación</w:t>
      </w:r>
      <w:r>
        <w:rPr>
          <w:rFonts w:cs="Arial"/>
          <w:lang w:val="es-ES"/>
        </w:rPr>
        <w:t>.</w:t>
      </w:r>
    </w:p>
    <w:p w:rsidR="00A71BC2" w:rsidRDefault="00A71BC2" w:rsidP="00A71BC2">
      <w:pPr>
        <w:pStyle w:val="Textoindependiente"/>
        <w:numPr>
          <w:ilvl w:val="0"/>
          <w:numId w:val="2"/>
        </w:numPr>
        <w:tabs>
          <w:tab w:val="num" w:pos="397"/>
          <w:tab w:val="num" w:pos="567"/>
        </w:tabs>
        <w:spacing w:after="0" w:line="360" w:lineRule="auto"/>
        <w:ind w:left="397" w:hanging="397"/>
        <w:rPr>
          <w:rFonts w:cs="Arial"/>
          <w:lang w:val="es-ES"/>
        </w:rPr>
      </w:pPr>
      <w:r>
        <w:rPr>
          <w:rFonts w:cs="Arial"/>
          <w:lang w:val="es-ES"/>
        </w:rPr>
        <w:t>No se realizaron arqueos en los Municipios, Juntas Locales y Centros Termales.</w:t>
      </w:r>
    </w:p>
    <w:p w:rsidR="00A71BC2" w:rsidRDefault="00A71BC2" w:rsidP="00A71BC2">
      <w:pPr>
        <w:pStyle w:val="Ttulo2"/>
        <w:spacing w:after="0"/>
        <w:jc w:val="both"/>
        <w:rPr>
          <w:rFonts w:cs="Arial"/>
        </w:rPr>
      </w:pPr>
      <w:bookmarkStart w:id="62" w:name="_Toc343587271"/>
      <w:bookmarkStart w:id="63" w:name="_Toc371950538"/>
      <w:r>
        <w:rPr>
          <w:rFonts w:cs="Arial"/>
        </w:rPr>
        <w:t>3.4.2 Respecto al área de compras</w:t>
      </w:r>
      <w:bookmarkEnd w:id="62"/>
      <w:bookmarkEnd w:id="63"/>
    </w:p>
    <w:p w:rsidR="00A71BC2" w:rsidRDefault="00A71BC2" w:rsidP="00A71BC2">
      <w:pPr>
        <w:pStyle w:val="Textoindependiente"/>
        <w:numPr>
          <w:ilvl w:val="0"/>
          <w:numId w:val="3"/>
        </w:numPr>
        <w:tabs>
          <w:tab w:val="num" w:pos="397"/>
        </w:tabs>
        <w:spacing w:after="0" w:line="360" w:lineRule="auto"/>
        <w:ind w:left="397" w:hanging="397"/>
        <w:rPr>
          <w:rFonts w:cs="Arial"/>
        </w:rPr>
      </w:pPr>
      <w:r w:rsidRPr="0022178A">
        <w:rPr>
          <w:rFonts w:cs="Arial"/>
        </w:rPr>
        <w:t>No existe un manual que abarque todo el procedimiento de compras</w:t>
      </w:r>
      <w:r>
        <w:rPr>
          <w:rFonts w:cs="Arial"/>
        </w:rPr>
        <w:t>.</w:t>
      </w:r>
    </w:p>
    <w:p w:rsidR="00A71BC2" w:rsidRDefault="00A71BC2" w:rsidP="00A71BC2">
      <w:pPr>
        <w:pStyle w:val="Textoindependiente"/>
        <w:numPr>
          <w:ilvl w:val="0"/>
          <w:numId w:val="3"/>
        </w:numPr>
        <w:tabs>
          <w:tab w:val="num" w:pos="397"/>
        </w:tabs>
        <w:spacing w:after="0" w:line="360" w:lineRule="auto"/>
        <w:ind w:left="397" w:hanging="397"/>
        <w:rPr>
          <w:rFonts w:cs="Arial"/>
        </w:rPr>
      </w:pPr>
      <w:r>
        <w:rPr>
          <w:rFonts w:cs="Arial"/>
        </w:rPr>
        <w:t>No se realizan conciliaciones de saldos con los proveedores.</w:t>
      </w:r>
    </w:p>
    <w:p w:rsidR="00A71BC2" w:rsidRPr="001E60B8" w:rsidRDefault="00A71BC2" w:rsidP="00A71BC2">
      <w:pPr>
        <w:pStyle w:val="Textoindependiente"/>
        <w:numPr>
          <w:ilvl w:val="0"/>
          <w:numId w:val="3"/>
        </w:numPr>
        <w:tabs>
          <w:tab w:val="num" w:pos="397"/>
        </w:tabs>
        <w:spacing w:after="0" w:line="360" w:lineRule="auto"/>
        <w:ind w:left="397" w:hanging="397"/>
        <w:rPr>
          <w:rFonts w:cs="Arial"/>
        </w:rPr>
      </w:pPr>
      <w:r>
        <w:rPr>
          <w:rFonts w:cs="Arial"/>
        </w:rPr>
        <w:t>No hay una previsión anual para la compra de artículos.</w:t>
      </w:r>
    </w:p>
    <w:p w:rsidR="00A71BC2" w:rsidRDefault="00A71BC2" w:rsidP="00A71BC2">
      <w:pPr>
        <w:pStyle w:val="Ttulo2"/>
        <w:spacing w:after="0"/>
        <w:jc w:val="both"/>
        <w:rPr>
          <w:rFonts w:cs="Arial"/>
        </w:rPr>
      </w:pPr>
      <w:bookmarkStart w:id="64" w:name="_Toc343587272"/>
      <w:bookmarkStart w:id="65" w:name="_Toc371950539"/>
      <w:r>
        <w:rPr>
          <w:rFonts w:cs="Arial"/>
        </w:rPr>
        <w:t>3.4.3 Respecto a retribuciones personales</w:t>
      </w:r>
      <w:bookmarkEnd w:id="64"/>
      <w:bookmarkEnd w:id="65"/>
    </w:p>
    <w:p w:rsidR="00A71BC2" w:rsidRDefault="00A71BC2" w:rsidP="00A71BC2">
      <w:pPr>
        <w:pStyle w:val="Textoindependiente"/>
        <w:numPr>
          <w:ilvl w:val="0"/>
          <w:numId w:val="3"/>
        </w:numPr>
        <w:tabs>
          <w:tab w:val="num" w:pos="397"/>
        </w:tabs>
        <w:spacing w:after="0" w:line="360" w:lineRule="auto"/>
        <w:ind w:left="397" w:hanging="397"/>
        <w:rPr>
          <w:rFonts w:cs="Arial"/>
        </w:rPr>
      </w:pPr>
      <w:r>
        <w:rPr>
          <w:rFonts w:cs="Arial"/>
        </w:rPr>
        <w:t>No se cuenta con un compendio normativo actualizado que incluya las normas presupuestales de la totalidad de las partidas abonadas a los funcionarios.</w:t>
      </w:r>
    </w:p>
    <w:p w:rsidR="00A71BC2" w:rsidRDefault="00A71BC2" w:rsidP="00A71BC2">
      <w:pPr>
        <w:pStyle w:val="Textoindependiente"/>
        <w:numPr>
          <w:ilvl w:val="0"/>
          <w:numId w:val="3"/>
        </w:numPr>
        <w:tabs>
          <w:tab w:val="num" w:pos="397"/>
        </w:tabs>
        <w:spacing w:after="0" w:line="360" w:lineRule="auto"/>
        <w:ind w:left="397" w:hanging="397"/>
        <w:rPr>
          <w:rFonts w:cs="Arial"/>
        </w:rPr>
      </w:pPr>
      <w:r>
        <w:rPr>
          <w:rFonts w:cs="Arial"/>
        </w:rPr>
        <w:t>Se efectúan pagos a cuenta de los sueldos por motivos justificados, que si bien no constituyen adelantos de sueldos, carecen de una norma que los regule.</w:t>
      </w:r>
    </w:p>
    <w:p w:rsidR="00A71BC2" w:rsidRDefault="00A71BC2" w:rsidP="00A71BC2">
      <w:pPr>
        <w:pStyle w:val="Ttulo2"/>
        <w:numPr>
          <w:ilvl w:val="1"/>
          <w:numId w:val="9"/>
        </w:numPr>
        <w:spacing w:after="0"/>
        <w:jc w:val="both"/>
        <w:rPr>
          <w:rFonts w:cs="Arial"/>
          <w:b w:val="0"/>
          <w:color w:val="000000"/>
        </w:rPr>
      </w:pPr>
      <w:bookmarkStart w:id="66" w:name="_Toc310948796"/>
      <w:bookmarkStart w:id="67" w:name="_Toc343587273"/>
      <w:bookmarkStart w:id="68" w:name="_Toc371950540"/>
      <w:r>
        <w:rPr>
          <w:rFonts w:cs="Arial"/>
        </w:rPr>
        <w:lastRenderedPageBreak/>
        <w:t>Recomendaciones</w:t>
      </w:r>
      <w:bookmarkEnd w:id="66"/>
      <w:bookmarkEnd w:id="67"/>
      <w:bookmarkEnd w:id="68"/>
    </w:p>
    <w:p w:rsidR="00A71BC2" w:rsidRDefault="00A71BC2" w:rsidP="00A71BC2">
      <w:pPr>
        <w:pStyle w:val="Ttulo2"/>
        <w:spacing w:after="0"/>
        <w:jc w:val="both"/>
        <w:rPr>
          <w:rFonts w:cs="Arial"/>
        </w:rPr>
      </w:pPr>
      <w:bookmarkStart w:id="69" w:name="_Toc343587274"/>
      <w:bookmarkStart w:id="70" w:name="_Toc371950541"/>
      <w:r>
        <w:rPr>
          <w:rFonts w:cs="Arial"/>
          <w:lang w:val="es-ES_tradnl"/>
        </w:rPr>
        <w:t xml:space="preserve">3.5.1 </w:t>
      </w:r>
      <w:r>
        <w:rPr>
          <w:rFonts w:cs="Arial"/>
        </w:rPr>
        <w:t>Recomendaciones del ejercicio anterior cumplidas</w:t>
      </w:r>
      <w:bookmarkEnd w:id="69"/>
      <w:bookmarkEnd w:id="70"/>
    </w:p>
    <w:p w:rsidR="00A71BC2" w:rsidRDefault="00A71BC2" w:rsidP="00A71BC2">
      <w:pPr>
        <w:pStyle w:val="Ttulo2"/>
        <w:spacing w:after="0"/>
        <w:jc w:val="both"/>
        <w:rPr>
          <w:rFonts w:cs="Arial"/>
        </w:rPr>
      </w:pPr>
      <w:bookmarkStart w:id="71" w:name="_Toc343587275"/>
      <w:bookmarkStart w:id="72" w:name="_Toc371950542"/>
      <w:r>
        <w:rPr>
          <w:rFonts w:cs="Arial"/>
        </w:rPr>
        <w:t>Decretos Nº 1.290/90, 5.111/06 y 5.322/06</w:t>
      </w:r>
      <w:bookmarkEnd w:id="71"/>
      <w:bookmarkEnd w:id="72"/>
    </w:p>
    <w:p w:rsidR="00A71BC2" w:rsidRDefault="00A71BC2" w:rsidP="00A71BC2">
      <w:pPr>
        <w:pStyle w:val="Textoindependiente"/>
        <w:spacing w:after="0" w:line="360" w:lineRule="auto"/>
        <w:rPr>
          <w:rFonts w:cs="Arial"/>
        </w:rPr>
      </w:pPr>
      <w:r>
        <w:rPr>
          <w:rFonts w:cs="Arial"/>
        </w:rPr>
        <w:t>La Intendencia cumplió durante el ejercicio con los términos de caducidad dispuestos en los Convenios que se realizaron con los contribuyentes.</w:t>
      </w:r>
    </w:p>
    <w:p w:rsidR="00A71BC2" w:rsidRDefault="00A71BC2" w:rsidP="00A71BC2">
      <w:pPr>
        <w:pStyle w:val="Ttulo2"/>
        <w:spacing w:after="0"/>
        <w:jc w:val="both"/>
        <w:rPr>
          <w:rFonts w:cs="Arial"/>
          <w:lang w:val="es-ES_tradnl"/>
        </w:rPr>
      </w:pPr>
      <w:bookmarkStart w:id="73" w:name="_Toc343587277"/>
      <w:bookmarkStart w:id="74" w:name="_Toc371950543"/>
      <w:r>
        <w:rPr>
          <w:rFonts w:cs="Arial"/>
          <w:lang w:val="es-ES_tradnl"/>
        </w:rPr>
        <w:t>3.5.2 Recomendaciones del ejercicio anterior no cumplidas</w:t>
      </w:r>
      <w:bookmarkEnd w:id="73"/>
      <w:bookmarkEnd w:id="74"/>
    </w:p>
    <w:p w:rsidR="00A71BC2" w:rsidRDefault="00A71BC2" w:rsidP="00A71BC2">
      <w:pPr>
        <w:pStyle w:val="Ttulo2"/>
        <w:spacing w:after="0"/>
        <w:jc w:val="both"/>
        <w:rPr>
          <w:rFonts w:cs="Arial"/>
        </w:rPr>
      </w:pPr>
      <w:bookmarkStart w:id="75" w:name="_Toc343587278"/>
      <w:bookmarkStart w:id="76" w:name="_Toc371950544"/>
      <w:r>
        <w:rPr>
          <w:rFonts w:cs="Arial"/>
        </w:rPr>
        <w:t>3.5.2.1 Estados de resultado del ejercicio y de resultado acumulado</w:t>
      </w:r>
      <w:bookmarkEnd w:id="75"/>
      <w:bookmarkEnd w:id="76"/>
    </w:p>
    <w:p w:rsidR="00A71BC2" w:rsidRDefault="00A71BC2" w:rsidP="000B53C0">
      <w:pPr>
        <w:pStyle w:val="Textoindependiente"/>
        <w:spacing w:after="0" w:line="360" w:lineRule="auto"/>
        <w:rPr>
          <w:rFonts w:cs="Arial"/>
          <w:lang w:val="es-ES"/>
        </w:rPr>
      </w:pPr>
      <w:r>
        <w:rPr>
          <w:rFonts w:cs="Arial"/>
          <w:lang w:val="es-ES"/>
        </w:rPr>
        <w:t>La Intendencia deberá ajustar su forma de determinación de acuerdo con lo expuesto en el Párrafo 3.1, e incluir los conceptos que establece el Instructivo para la presentación de la Rendición de Cuentas aprobada por este Tribunal.</w:t>
      </w:r>
    </w:p>
    <w:p w:rsidR="00A71BC2" w:rsidRDefault="00A71BC2" w:rsidP="00A71BC2">
      <w:pPr>
        <w:pStyle w:val="Ttulo2"/>
        <w:jc w:val="both"/>
        <w:rPr>
          <w:rFonts w:cs="Arial"/>
        </w:rPr>
      </w:pPr>
      <w:bookmarkStart w:id="77" w:name="_Toc343587279"/>
      <w:bookmarkStart w:id="78" w:name="_Toc371950545"/>
      <w:r>
        <w:rPr>
          <w:rFonts w:cs="Arial"/>
        </w:rPr>
        <w:t xml:space="preserve">3.5.2.2  Evolución de fondos </w:t>
      </w:r>
      <w:proofErr w:type="spellStart"/>
      <w:r>
        <w:rPr>
          <w:rFonts w:cs="Arial"/>
        </w:rPr>
        <w:t>extrapresupuestales</w:t>
      </w:r>
      <w:bookmarkEnd w:id="77"/>
      <w:bookmarkEnd w:id="78"/>
      <w:proofErr w:type="spellEnd"/>
    </w:p>
    <w:p w:rsidR="00A71BC2" w:rsidRDefault="00A71BC2" w:rsidP="00A71BC2">
      <w:pPr>
        <w:pStyle w:val="Textoindependiente"/>
        <w:spacing w:after="0" w:line="360" w:lineRule="auto"/>
        <w:rPr>
          <w:rFonts w:cs="Arial"/>
          <w:lang w:val="es-ES"/>
        </w:rPr>
      </w:pPr>
      <w:r>
        <w:rPr>
          <w:rFonts w:cs="Arial"/>
          <w:lang w:val="es-ES"/>
        </w:rPr>
        <w:t xml:space="preserve">El estado correspondiente al movimiento de fondos </w:t>
      </w:r>
      <w:proofErr w:type="spellStart"/>
      <w:r>
        <w:rPr>
          <w:rFonts w:cs="Arial"/>
          <w:lang w:val="es-ES"/>
        </w:rPr>
        <w:t>extrapresupuestales</w:t>
      </w:r>
      <w:proofErr w:type="spellEnd"/>
      <w:r>
        <w:rPr>
          <w:rFonts w:cs="Arial"/>
          <w:lang w:val="es-ES"/>
        </w:rPr>
        <w:t xml:space="preserve"> debe ser presentado en la forma establecida en el Instructivo de este Tribunal aprobado en Sesión de fecha 28 de enero de 2004, de forma que estén claramente identificadas las partidas que permanecen con saldos al cierre del ejercicio y las que, por el contrario, son afectadas al resultado del ejercicio.</w:t>
      </w:r>
    </w:p>
    <w:p w:rsidR="00A71BC2" w:rsidRDefault="00A71BC2" w:rsidP="00A71BC2">
      <w:pPr>
        <w:pStyle w:val="Ttulo2"/>
        <w:numPr>
          <w:ilvl w:val="3"/>
          <w:numId w:val="7"/>
        </w:numPr>
        <w:tabs>
          <w:tab w:val="num" w:pos="2880"/>
        </w:tabs>
        <w:jc w:val="both"/>
        <w:rPr>
          <w:rFonts w:cs="Arial"/>
        </w:rPr>
      </w:pPr>
      <w:bookmarkStart w:id="79" w:name="_Toc343587280"/>
      <w:bookmarkStart w:id="80" w:name="_Toc371950546"/>
      <w:r>
        <w:rPr>
          <w:rFonts w:cs="Arial"/>
        </w:rPr>
        <w:t>Multas por Contribución Rural e Impuesto Ley Nº 12.700</w:t>
      </w:r>
      <w:bookmarkEnd w:id="79"/>
      <w:bookmarkEnd w:id="80"/>
    </w:p>
    <w:p w:rsidR="00A71BC2" w:rsidRDefault="00A71BC2" w:rsidP="00A71BC2">
      <w:pPr>
        <w:pStyle w:val="Textoindependiente"/>
        <w:spacing w:after="0" w:line="360" w:lineRule="auto"/>
        <w:rPr>
          <w:rFonts w:cs="Arial"/>
          <w:lang w:val="es-ES"/>
        </w:rPr>
      </w:pPr>
      <w:r>
        <w:rPr>
          <w:rFonts w:cs="Arial"/>
          <w:lang w:val="es-ES"/>
        </w:rPr>
        <w:t>La aplicación de las multas por mora en el caso de estos tributos fijados por Ley Nacional, debe ajustarse a lo dispuesto por los Artículos 93 y 94 del Código Tributario.</w:t>
      </w:r>
    </w:p>
    <w:p w:rsidR="00A71BC2" w:rsidRDefault="00A71BC2" w:rsidP="00A71BC2">
      <w:pPr>
        <w:pStyle w:val="Ttulo2"/>
        <w:numPr>
          <w:ilvl w:val="3"/>
          <w:numId w:val="7"/>
        </w:numPr>
        <w:tabs>
          <w:tab w:val="num" w:pos="2880"/>
        </w:tabs>
        <w:jc w:val="both"/>
        <w:rPr>
          <w:rFonts w:cs="Arial"/>
        </w:rPr>
      </w:pPr>
      <w:bookmarkStart w:id="81" w:name="_Toc343587281"/>
      <w:bookmarkStart w:id="82" w:name="_Toc371950547"/>
      <w:r>
        <w:rPr>
          <w:rFonts w:cs="Arial"/>
        </w:rPr>
        <w:t>Arqueos de fondos</w:t>
      </w:r>
      <w:bookmarkEnd w:id="81"/>
      <w:bookmarkEnd w:id="82"/>
    </w:p>
    <w:p w:rsidR="00A71BC2" w:rsidRDefault="00A71BC2" w:rsidP="00A71BC2">
      <w:pPr>
        <w:pStyle w:val="Textoindependiente"/>
        <w:spacing w:after="0" w:line="360" w:lineRule="auto"/>
        <w:rPr>
          <w:rFonts w:cs="Arial"/>
          <w:lang w:val="es-ES"/>
        </w:rPr>
      </w:pPr>
      <w:r>
        <w:rPr>
          <w:rFonts w:cs="Arial"/>
          <w:lang w:val="es-ES"/>
        </w:rPr>
        <w:t xml:space="preserve">A efectos de tener un adecuado contralor sobre el manejo de fondos en las diferentes oficinas de la Intendencia, deberán practicarse arqueos sorpresivos en los Municipios, Juntas Locales y Centros Termales. </w:t>
      </w:r>
    </w:p>
    <w:p w:rsidR="00A71BC2" w:rsidRDefault="00A71BC2" w:rsidP="00A71BC2">
      <w:pPr>
        <w:pStyle w:val="Ttulo2"/>
        <w:jc w:val="both"/>
        <w:rPr>
          <w:rFonts w:cs="Arial"/>
        </w:rPr>
      </w:pPr>
      <w:bookmarkStart w:id="83" w:name="_Toc273697919"/>
      <w:bookmarkStart w:id="84" w:name="_Toc343587282"/>
      <w:bookmarkStart w:id="85" w:name="_Toc371950548"/>
      <w:r>
        <w:rPr>
          <w:rFonts w:cs="Arial"/>
        </w:rPr>
        <w:t>3.5.2.5 Control sobre tope de horas extras</w:t>
      </w:r>
      <w:bookmarkEnd w:id="83"/>
      <w:bookmarkEnd w:id="84"/>
      <w:bookmarkEnd w:id="85"/>
    </w:p>
    <w:p w:rsidR="00A71BC2" w:rsidRDefault="00A71BC2" w:rsidP="00A71BC2">
      <w:pPr>
        <w:pStyle w:val="Textoindependiente"/>
        <w:spacing w:line="360" w:lineRule="auto"/>
        <w:rPr>
          <w:rFonts w:cs="Arial"/>
        </w:rPr>
      </w:pPr>
      <w:r>
        <w:rPr>
          <w:rFonts w:cs="Arial"/>
        </w:rPr>
        <w:t>La Intendencia deberá considerar lo establecido en el Convenio Nº 30 de la OIT en cuanto a cantidad de horas extras realizadas.</w:t>
      </w:r>
    </w:p>
    <w:p w:rsidR="00A71BC2" w:rsidRDefault="00A71BC2" w:rsidP="00A71BC2">
      <w:pPr>
        <w:pStyle w:val="Ttulo2"/>
        <w:numPr>
          <w:ilvl w:val="3"/>
          <w:numId w:val="8"/>
        </w:numPr>
        <w:tabs>
          <w:tab w:val="num" w:pos="2880"/>
        </w:tabs>
        <w:jc w:val="both"/>
        <w:rPr>
          <w:rFonts w:cs="Arial"/>
        </w:rPr>
      </w:pPr>
      <w:bookmarkStart w:id="86" w:name="_Toc343587284"/>
      <w:bookmarkStart w:id="87" w:name="_Toc371950549"/>
      <w:r>
        <w:rPr>
          <w:rFonts w:cs="Arial"/>
        </w:rPr>
        <w:lastRenderedPageBreak/>
        <w:t>Excesos de gastos</w:t>
      </w:r>
      <w:bookmarkEnd w:id="86"/>
      <w:bookmarkEnd w:id="87"/>
    </w:p>
    <w:p w:rsidR="00A71BC2" w:rsidRDefault="00A71BC2" w:rsidP="00A71BC2">
      <w:pPr>
        <w:pStyle w:val="Textoindependiente"/>
        <w:spacing w:after="0" w:line="360" w:lineRule="auto"/>
        <w:rPr>
          <w:rFonts w:cs="Arial"/>
          <w:lang w:val="es-ES"/>
        </w:rPr>
      </w:pPr>
      <w:r>
        <w:rPr>
          <w:rFonts w:cs="Arial"/>
          <w:lang w:val="es-ES"/>
        </w:rPr>
        <w:t>A efectos de dar cumplimiento a lo dispuesto por el Artículo 15 del TOCAF, no deberán comprometerse gastos sin que exista crédito presupuestal disponible en los objetos de gastos respectivos.</w:t>
      </w:r>
    </w:p>
    <w:p w:rsidR="00A71BC2" w:rsidRDefault="00A71BC2" w:rsidP="00A71BC2">
      <w:pPr>
        <w:pStyle w:val="Ttulo2"/>
        <w:tabs>
          <w:tab w:val="num" w:pos="2880"/>
        </w:tabs>
        <w:jc w:val="both"/>
        <w:rPr>
          <w:rFonts w:cs="Arial"/>
        </w:rPr>
      </w:pPr>
      <w:bookmarkStart w:id="88" w:name="_Toc343587285"/>
      <w:bookmarkStart w:id="89" w:name="_Toc371950550"/>
      <w:r>
        <w:rPr>
          <w:rFonts w:cs="Arial"/>
        </w:rPr>
        <w:t>3.5.2.7 Caducidad de obligaciones presupuestales impagas</w:t>
      </w:r>
      <w:bookmarkEnd w:id="88"/>
      <w:bookmarkEnd w:id="89"/>
    </w:p>
    <w:p w:rsidR="00A71BC2" w:rsidRDefault="00A71BC2" w:rsidP="00A71BC2">
      <w:pPr>
        <w:pStyle w:val="Textoindependiente"/>
        <w:spacing w:after="0" w:line="360" w:lineRule="auto"/>
        <w:rPr>
          <w:rFonts w:cs="Arial"/>
          <w:lang w:val="es-ES"/>
        </w:rPr>
      </w:pPr>
      <w:r>
        <w:rPr>
          <w:rFonts w:cs="Arial"/>
          <w:lang w:val="es-ES"/>
        </w:rPr>
        <w:t xml:space="preserve">Si deben darse de baja determinadas obligaciones, en razón de que no corresponde abonarlas, deberá indicarse el detalle de las mismas y el motivo por el que se dan de baja, de acuerdo con lo previsto en punto 3.8.1 del Instructivo de este Tribunal de 28 de enero de 2004. </w:t>
      </w:r>
    </w:p>
    <w:p w:rsidR="00A71BC2" w:rsidRDefault="00A71BC2" w:rsidP="00A71BC2">
      <w:pPr>
        <w:pStyle w:val="Ttulo2"/>
        <w:spacing w:after="0"/>
        <w:jc w:val="both"/>
        <w:rPr>
          <w:rFonts w:cs="Arial"/>
        </w:rPr>
      </w:pPr>
      <w:bookmarkStart w:id="90" w:name="_Toc274144771"/>
      <w:bookmarkStart w:id="91" w:name="_Toc343587286"/>
      <w:bookmarkStart w:id="92" w:name="_Toc371950551"/>
      <w:r>
        <w:rPr>
          <w:rFonts w:cs="Arial"/>
        </w:rPr>
        <w:t>3.</w:t>
      </w:r>
      <w:bookmarkEnd w:id="90"/>
      <w:r>
        <w:rPr>
          <w:rFonts w:cs="Arial"/>
        </w:rPr>
        <w:t>5.2.8 Ingresos de Termas</w:t>
      </w:r>
      <w:bookmarkEnd w:id="91"/>
      <w:bookmarkEnd w:id="92"/>
      <w:r>
        <w:rPr>
          <w:rFonts w:cs="Arial"/>
        </w:rPr>
        <w:t xml:space="preserve"> </w:t>
      </w:r>
    </w:p>
    <w:p w:rsidR="00A71BC2" w:rsidRDefault="00A71BC2" w:rsidP="00A71BC2">
      <w:pPr>
        <w:widowControl w:val="0"/>
        <w:spacing w:after="0" w:line="360" w:lineRule="auto"/>
        <w:rPr>
          <w:rFonts w:cs="Arial"/>
          <w:color w:val="000000"/>
        </w:rPr>
      </w:pPr>
      <w:r>
        <w:rPr>
          <w:rFonts w:cs="Arial"/>
          <w:color w:val="000000"/>
        </w:rPr>
        <w:t>La Intendencia deberá instrumentar los mecanismos que aseguren un adecuado seguimiento de los ingresos percibidos y la documentación emitida por los centros turísticos.</w:t>
      </w:r>
    </w:p>
    <w:p w:rsidR="00A71BC2" w:rsidRDefault="00A71BC2" w:rsidP="00A71BC2">
      <w:pPr>
        <w:pStyle w:val="Ttulo2"/>
        <w:jc w:val="both"/>
        <w:rPr>
          <w:rFonts w:cs="Arial"/>
        </w:rPr>
      </w:pPr>
      <w:bookmarkStart w:id="93" w:name="_Toc343587287"/>
      <w:bookmarkStart w:id="94" w:name="_Toc371950552"/>
      <w:r>
        <w:rPr>
          <w:rFonts w:cs="Arial"/>
        </w:rPr>
        <w:t>3.5.2.9 Compendio normativo</w:t>
      </w:r>
      <w:bookmarkEnd w:id="93"/>
      <w:bookmarkEnd w:id="94"/>
    </w:p>
    <w:p w:rsidR="00A71BC2" w:rsidRDefault="00A71BC2" w:rsidP="00A71BC2">
      <w:pPr>
        <w:pStyle w:val="Textoindependiente"/>
        <w:spacing w:after="0" w:line="360" w:lineRule="auto"/>
        <w:rPr>
          <w:rFonts w:cs="Arial"/>
          <w:lang w:val="es-ES"/>
        </w:rPr>
      </w:pPr>
      <w:r>
        <w:rPr>
          <w:rFonts w:cs="Arial"/>
          <w:lang w:val="es-ES"/>
        </w:rPr>
        <w:t>Deberán arbitrarse los mecanismos a fin de mantener un texto ordenado de todas las normas tributarias que aplica la Intendencia.</w:t>
      </w:r>
    </w:p>
    <w:p w:rsidR="00A71BC2" w:rsidRDefault="00A71BC2" w:rsidP="00A71BC2">
      <w:pPr>
        <w:pStyle w:val="Ttulo2"/>
        <w:jc w:val="both"/>
        <w:rPr>
          <w:rFonts w:cs="Arial"/>
        </w:rPr>
      </w:pPr>
      <w:bookmarkStart w:id="95" w:name="_Toc343587288"/>
      <w:bookmarkStart w:id="96" w:name="_Toc371950553"/>
      <w:r>
        <w:rPr>
          <w:rFonts w:cs="Arial"/>
        </w:rPr>
        <w:t>3.5.2.10 Arqueos de “Caja Sueldos”</w:t>
      </w:r>
      <w:bookmarkEnd w:id="95"/>
      <w:bookmarkEnd w:id="96"/>
    </w:p>
    <w:p w:rsidR="00A71BC2" w:rsidRDefault="00A71BC2" w:rsidP="00A71BC2">
      <w:pPr>
        <w:pStyle w:val="Textoindependiente"/>
        <w:spacing w:after="0" w:line="360" w:lineRule="auto"/>
        <w:rPr>
          <w:rFonts w:cs="Arial"/>
          <w:lang w:val="es-ES"/>
        </w:rPr>
      </w:pPr>
      <w:r>
        <w:rPr>
          <w:rFonts w:cs="Arial"/>
          <w:lang w:val="es-ES"/>
        </w:rPr>
        <w:t>Los saldos contables de los fondos sujetos a arqueo deben estar disponibles al momento de practicar cada arqueo a efectos de su verificación con los fondos recontados.</w:t>
      </w:r>
    </w:p>
    <w:p w:rsidR="00A71BC2" w:rsidRDefault="00A71BC2" w:rsidP="00A71BC2">
      <w:pPr>
        <w:pStyle w:val="Ttulo2"/>
        <w:jc w:val="both"/>
        <w:rPr>
          <w:rFonts w:cs="Arial"/>
        </w:rPr>
      </w:pPr>
      <w:bookmarkStart w:id="97" w:name="_Toc343587289"/>
      <w:bookmarkStart w:id="98" w:name="_Toc371950554"/>
      <w:r>
        <w:rPr>
          <w:rFonts w:cs="Arial"/>
        </w:rPr>
        <w:t>3.5.2.11 Conciliaciones de saldos de proveedores</w:t>
      </w:r>
      <w:bookmarkEnd w:id="97"/>
      <w:bookmarkEnd w:id="98"/>
    </w:p>
    <w:p w:rsidR="00A71BC2" w:rsidRDefault="00A71BC2" w:rsidP="00A71BC2">
      <w:pPr>
        <w:pStyle w:val="Textoindependiente"/>
        <w:spacing w:after="0" w:line="360" w:lineRule="auto"/>
        <w:rPr>
          <w:rFonts w:cs="Arial"/>
          <w:lang w:val="es-ES"/>
        </w:rPr>
      </w:pPr>
      <w:r>
        <w:rPr>
          <w:rFonts w:cs="Arial"/>
          <w:lang w:val="es-ES"/>
        </w:rPr>
        <w:t xml:space="preserve">Los saldos contables de las cuentas de proveedores (públicos y privados) se deberán mantener actualizados, disponiéndose a tales efectos de mecanismos de contralor como la realización de </w:t>
      </w:r>
      <w:proofErr w:type="spellStart"/>
      <w:r>
        <w:rPr>
          <w:rFonts w:cs="Arial"/>
          <w:lang w:val="es-ES"/>
        </w:rPr>
        <w:t>circularizaciones</w:t>
      </w:r>
      <w:proofErr w:type="spellEnd"/>
      <w:r>
        <w:rPr>
          <w:rFonts w:cs="Arial"/>
          <w:lang w:val="es-ES"/>
        </w:rPr>
        <w:t xml:space="preserve"> periódicas por muestras escogidas al azar y efectuar las conciliaciones con los mayores respectivos.</w:t>
      </w:r>
    </w:p>
    <w:p w:rsidR="00D95C4B" w:rsidRDefault="00D95C4B" w:rsidP="00A71BC2">
      <w:pPr>
        <w:pStyle w:val="Textoindependiente"/>
        <w:spacing w:after="0" w:line="360" w:lineRule="auto"/>
        <w:rPr>
          <w:rFonts w:cs="Arial"/>
          <w:lang w:val="es-ES"/>
        </w:rPr>
      </w:pPr>
    </w:p>
    <w:p w:rsidR="00D95C4B" w:rsidRDefault="00D95C4B" w:rsidP="00A71BC2">
      <w:pPr>
        <w:pStyle w:val="Textoindependiente"/>
        <w:spacing w:after="0" w:line="360" w:lineRule="auto"/>
        <w:rPr>
          <w:rFonts w:cs="Arial"/>
          <w:lang w:val="es-ES"/>
        </w:rPr>
      </w:pPr>
    </w:p>
    <w:p w:rsidR="00A71BC2" w:rsidRDefault="00A71BC2" w:rsidP="00A71BC2">
      <w:pPr>
        <w:pStyle w:val="Ttulo2"/>
        <w:jc w:val="both"/>
        <w:rPr>
          <w:rFonts w:cs="Arial"/>
        </w:rPr>
      </w:pPr>
      <w:bookmarkStart w:id="99" w:name="_Toc207699455"/>
      <w:bookmarkStart w:id="100" w:name="_Toc343587290"/>
      <w:bookmarkStart w:id="101" w:name="_Toc371950555"/>
      <w:r>
        <w:rPr>
          <w:rFonts w:cs="Arial"/>
        </w:rPr>
        <w:lastRenderedPageBreak/>
        <w:t>3.5.3 Recomendaciones del ejercicio</w:t>
      </w:r>
      <w:bookmarkEnd w:id="99"/>
      <w:bookmarkEnd w:id="100"/>
      <w:bookmarkEnd w:id="101"/>
    </w:p>
    <w:p w:rsidR="00A71BC2" w:rsidRDefault="00A71BC2" w:rsidP="00A71BC2">
      <w:pPr>
        <w:pStyle w:val="Textoindependiente"/>
        <w:widowControl w:val="0"/>
        <w:spacing w:line="360" w:lineRule="auto"/>
        <w:rPr>
          <w:rFonts w:cs="Arial"/>
          <w:lang w:val="es-ES"/>
        </w:rPr>
      </w:pPr>
      <w:r>
        <w:rPr>
          <w:rFonts w:cs="Arial"/>
          <w:lang w:val="es-ES"/>
        </w:rPr>
        <w:t xml:space="preserve">Se reiteran las recomendaciones señaladas en el Numeral 3.5.2. </w:t>
      </w:r>
    </w:p>
    <w:p w:rsidR="00A71BC2" w:rsidRDefault="00A71BC2" w:rsidP="00A71BC2">
      <w:pPr>
        <w:pStyle w:val="Sangra3detindependiente"/>
        <w:jc w:val="right"/>
      </w:pPr>
      <w:r>
        <w:t>Montevideo, 11 de noviembre de 2013</w:t>
      </w:r>
    </w:p>
    <w:p w:rsidR="00A71BC2" w:rsidRDefault="00A71BC2" w:rsidP="00A71BC2">
      <w:pPr>
        <w:pStyle w:val="Sangra3detindependiente"/>
      </w:pPr>
    </w:p>
    <w:p w:rsidR="00A71BC2" w:rsidRDefault="00A71BC2" w:rsidP="00A71BC2">
      <w:pPr>
        <w:pStyle w:val="Ttulo3"/>
        <w:spacing w:after="0"/>
        <w:jc w:val="both"/>
        <w:rPr>
          <w:bCs/>
          <w:i w:val="0"/>
        </w:rPr>
      </w:pPr>
    </w:p>
    <w:p w:rsidR="00A71BC2" w:rsidRPr="00D95C4B" w:rsidRDefault="00D95C4B" w:rsidP="00D95C4B">
      <w:pPr>
        <w:pStyle w:val="Ttulo3"/>
        <w:spacing w:after="0"/>
        <w:rPr>
          <w:b/>
          <w:bCs/>
          <w:i w:val="0"/>
        </w:rPr>
      </w:pPr>
      <w:r w:rsidRPr="00D95C4B">
        <w:rPr>
          <w:b/>
          <w:bCs/>
          <w:i w:val="0"/>
        </w:rPr>
        <w:t xml:space="preserve">Oficio remitido al </w:t>
      </w:r>
      <w:r w:rsidR="00A71BC2" w:rsidRPr="00D95C4B">
        <w:rPr>
          <w:b/>
          <w:bCs/>
          <w:i w:val="0"/>
        </w:rPr>
        <w:t>Sr</w:t>
      </w:r>
      <w:r w:rsidRPr="00D95C4B">
        <w:rPr>
          <w:b/>
          <w:bCs/>
          <w:i w:val="0"/>
        </w:rPr>
        <w:t xml:space="preserve">. </w:t>
      </w:r>
      <w:r w:rsidR="00A71BC2" w:rsidRPr="00D95C4B">
        <w:rPr>
          <w:b/>
          <w:bCs/>
          <w:i w:val="0"/>
        </w:rPr>
        <w:t>Director General de  la Dirección General Impositiva</w:t>
      </w:r>
    </w:p>
    <w:p w:rsidR="00A71BC2" w:rsidRPr="00D95C4B" w:rsidRDefault="00A71BC2" w:rsidP="00D95C4B">
      <w:pPr>
        <w:spacing w:after="0" w:line="360" w:lineRule="auto"/>
        <w:jc w:val="left"/>
        <w:rPr>
          <w:b/>
          <w:bCs/>
        </w:rPr>
      </w:pPr>
      <w:r w:rsidRPr="00D95C4B">
        <w:rPr>
          <w:b/>
          <w:bCs/>
        </w:rPr>
        <w:t xml:space="preserve">Cr. Pablo </w:t>
      </w:r>
      <w:proofErr w:type="spellStart"/>
      <w:r w:rsidRPr="00D95C4B">
        <w:rPr>
          <w:b/>
          <w:bCs/>
        </w:rPr>
        <w:t>Ferreri</w:t>
      </w:r>
      <w:proofErr w:type="spellEnd"/>
      <w:r w:rsidR="00D95C4B">
        <w:rPr>
          <w:b/>
          <w:bCs/>
        </w:rPr>
        <w:t>.-</w:t>
      </w:r>
    </w:p>
    <w:p w:rsidR="00A71BC2" w:rsidRDefault="00A71BC2" w:rsidP="00A71BC2">
      <w:pPr>
        <w:pStyle w:val="Sangra3detindependiente"/>
        <w:ind w:firstLine="708"/>
      </w:pPr>
    </w:p>
    <w:p w:rsidR="00D95C4B" w:rsidRDefault="00A71BC2" w:rsidP="00A71BC2">
      <w:pPr>
        <w:pStyle w:val="Sangra3detindependiente"/>
        <w:ind w:firstLine="708"/>
      </w:pPr>
      <w:r>
        <w:t>El Tribunal de Cuentas pone en su conocimiento que en el curso de la auditoría practicada en la Intendencia de Paysandú, en oportunidad de informar respecto de la Rendición de Cuentas correspondiente al Ejercicio 2012, se constató que durante dicho ejercicio los servicios del camping de la Intendencia fueron facturados sin incluir el IVA correspondiente.</w:t>
      </w:r>
    </w:p>
    <w:p w:rsidR="00A71BC2" w:rsidRDefault="00A71BC2" w:rsidP="00A71BC2">
      <w:pPr>
        <w:pStyle w:val="Sangra3detindependiente"/>
        <w:ind w:firstLine="708"/>
        <w:rPr>
          <w:sz w:val="16"/>
        </w:rPr>
      </w:pPr>
      <w:r>
        <w:t xml:space="preserve"> </w:t>
      </w:r>
    </w:p>
    <w:p w:rsidR="00150422" w:rsidRDefault="00A71BC2" w:rsidP="00A71BC2">
      <w:pPr>
        <w:jc w:val="left"/>
      </w:pPr>
      <w:proofErr w:type="spellStart"/>
      <w:proofErr w:type="gramStart"/>
      <w:r>
        <w:t>cr</w:t>
      </w:r>
      <w:proofErr w:type="spellEnd"/>
      <w:proofErr w:type="gramEnd"/>
    </w:p>
    <w:sectPr w:rsidR="00150422" w:rsidSect="00D647E3">
      <w:headerReference w:type="default" r:id="rId8"/>
      <w:footerReference w:type="even" r:id="rId9"/>
      <w:footerReference w:type="default" r:id="rId10"/>
      <w:footnotePr>
        <w:numRestart w:val="eachPage"/>
      </w:footnotePr>
      <w:pgSz w:w="11906" w:h="16838" w:code="9"/>
      <w:pgMar w:top="3402" w:right="1701" w:bottom="1418"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3C0" w:rsidRDefault="000B53C0">
      <w:pPr>
        <w:spacing w:after="0" w:line="240" w:lineRule="auto"/>
      </w:pPr>
      <w:r>
        <w:separator/>
      </w:r>
    </w:p>
  </w:endnote>
  <w:endnote w:type="continuationSeparator" w:id="0">
    <w:p w:rsidR="000B53C0" w:rsidRDefault="000B5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3C0" w:rsidRDefault="000B53C0">
    <w:pPr>
      <w:framePr w:wrap="around" w:vAnchor="text" w:hAnchor="margin" w:xAlign="center" w:y="1"/>
      <w:rPr>
        <w:lang w:val="es-ES"/>
      </w:rPr>
    </w:pPr>
    <w:r>
      <w:fldChar w:fldCharType="begin"/>
    </w:r>
    <w:r>
      <w:instrText xml:space="preserve">PAGE  </w:instrText>
    </w:r>
    <w:r>
      <w:fldChar w:fldCharType="separate"/>
    </w:r>
    <w:r>
      <w:rPr>
        <w:noProof/>
      </w:rPr>
      <w:t>1</w:t>
    </w:r>
    <w:r>
      <w:fldChar w:fldCharType="end"/>
    </w:r>
  </w:p>
  <w:p w:rsidR="000B53C0" w:rsidRDefault="000B53C0">
    <w:pPr>
      <w:ind w:right="360"/>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3C0" w:rsidRDefault="000B53C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B69B4">
      <w:rPr>
        <w:rStyle w:val="Nmerodepgina"/>
        <w:noProof/>
      </w:rPr>
      <w:t>14</w:t>
    </w:r>
    <w:r>
      <w:rPr>
        <w:rStyle w:val="Nmerodepgina"/>
      </w:rPr>
      <w:fldChar w:fldCharType="end"/>
    </w:r>
  </w:p>
  <w:p w:rsidR="000B53C0" w:rsidRDefault="000B53C0">
    <w:pPr>
      <w:framePr w:wrap="around" w:vAnchor="text" w:hAnchor="margin" w:xAlign="right" w:y="1"/>
      <w:rPr>
        <w:lang w:val="es-ES"/>
      </w:rPr>
    </w:pPr>
  </w:p>
  <w:p w:rsidR="000B53C0" w:rsidRDefault="000B53C0">
    <w:pPr>
      <w:ind w:right="360"/>
      <w:rPr>
        <w:lang w:val="es-ES"/>
      </w:rPr>
    </w:pPr>
    <w:r>
      <w:rPr>
        <w:lang w:val="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3C0" w:rsidRDefault="000B53C0">
      <w:pPr>
        <w:spacing w:after="0" w:line="240" w:lineRule="auto"/>
      </w:pPr>
      <w:r>
        <w:separator/>
      </w:r>
    </w:p>
  </w:footnote>
  <w:footnote w:type="continuationSeparator" w:id="0">
    <w:p w:rsidR="000B53C0" w:rsidRDefault="000B53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3C0" w:rsidRDefault="000B53C0">
    <w:pPr>
      <w:rPr>
        <w:lang w:val="es-ES"/>
      </w:rPr>
    </w:pPr>
    <w:r>
      <w:rPr>
        <w:lang w:val="es-ES"/>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E40"/>
    <w:multiLevelType w:val="hybridMultilevel"/>
    <w:tmpl w:val="DF36D5B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86C5018"/>
    <w:multiLevelType w:val="hybridMultilevel"/>
    <w:tmpl w:val="8ED058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99B0175"/>
    <w:multiLevelType w:val="multilevel"/>
    <w:tmpl w:val="3B661D7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550C0137"/>
    <w:multiLevelType w:val="hybridMultilevel"/>
    <w:tmpl w:val="E4EE42B8"/>
    <w:lvl w:ilvl="0" w:tplc="8B34F19E">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6F4086C"/>
    <w:multiLevelType w:val="multilevel"/>
    <w:tmpl w:val="8AFA3F98"/>
    <w:lvl w:ilvl="0">
      <w:start w:val="3"/>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57B63764"/>
    <w:multiLevelType w:val="hybridMultilevel"/>
    <w:tmpl w:val="B6EC30A2"/>
    <w:lvl w:ilvl="0" w:tplc="0FC2E5D6">
      <w:start w:val="1"/>
      <w:numFmt w:val="decimal"/>
      <w:lvlText w:val="%1)"/>
      <w:lvlJc w:val="left"/>
      <w:pPr>
        <w:tabs>
          <w:tab w:val="num" w:pos="360"/>
        </w:tabs>
        <w:ind w:left="340" w:hanging="34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67A3386E"/>
    <w:multiLevelType w:val="multilevel"/>
    <w:tmpl w:val="2C48195C"/>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3E44B22"/>
    <w:multiLevelType w:val="multilevel"/>
    <w:tmpl w:val="476EA9B2"/>
    <w:lvl w:ilvl="0">
      <w:start w:val="3"/>
      <w:numFmt w:val="decimal"/>
      <w:lvlText w:val="%1"/>
      <w:lvlJc w:val="left"/>
      <w:pPr>
        <w:tabs>
          <w:tab w:val="num" w:pos="735"/>
        </w:tabs>
        <w:ind w:left="735" w:hanging="735"/>
      </w:pPr>
      <w:rPr>
        <w:rFonts w:hint="default"/>
      </w:rPr>
    </w:lvl>
    <w:lvl w:ilvl="1">
      <w:start w:val="5"/>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6"/>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6F84CC7"/>
    <w:multiLevelType w:val="multilevel"/>
    <w:tmpl w:val="6E263F82"/>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
  </w:num>
  <w:num w:numId="3">
    <w:abstractNumId w:val="0"/>
  </w:num>
  <w:num w:numId="4">
    <w:abstractNumId w:val="2"/>
  </w:num>
  <w:num w:numId="5">
    <w:abstractNumId w:val="6"/>
  </w:num>
  <w:num w:numId="6">
    <w:abstractNumId w:val="3"/>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3BDF"/>
    <w:rsid w:val="00026475"/>
    <w:rsid w:val="0006203C"/>
    <w:rsid w:val="000B53C0"/>
    <w:rsid w:val="0014261D"/>
    <w:rsid w:val="00150422"/>
    <w:rsid w:val="003F3BDF"/>
    <w:rsid w:val="005D48D9"/>
    <w:rsid w:val="007A604A"/>
    <w:rsid w:val="00801968"/>
    <w:rsid w:val="008D5D0E"/>
    <w:rsid w:val="00A31BC3"/>
    <w:rsid w:val="00A71BC2"/>
    <w:rsid w:val="00BD2211"/>
    <w:rsid w:val="00D647E3"/>
    <w:rsid w:val="00D95C4B"/>
    <w:rsid w:val="00E608DF"/>
    <w:rsid w:val="00EF4D59"/>
    <w:rsid w:val="00FB69B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2"/>
      <w:lang w:eastAsia="en-US"/>
    </w:rPr>
  </w:style>
  <w:style w:type="paragraph" w:styleId="Ttulo1">
    <w:name w:val="heading 1"/>
    <w:basedOn w:val="Normal"/>
    <w:next w:val="Normal"/>
    <w:link w:val="Ttulo1Car"/>
    <w:qFormat/>
    <w:rsid w:val="00A71BC2"/>
    <w:pPr>
      <w:spacing w:after="180" w:line="360" w:lineRule="auto"/>
      <w:jc w:val="left"/>
      <w:outlineLvl w:val="0"/>
    </w:pPr>
    <w:rPr>
      <w:rFonts w:eastAsia="Times New Roman"/>
      <w:b/>
      <w:caps/>
      <w:kern w:val="18"/>
      <w:szCs w:val="20"/>
      <w:lang w:val="es-ES" w:eastAsia="es-ES"/>
    </w:rPr>
  </w:style>
  <w:style w:type="paragraph" w:styleId="Ttulo2">
    <w:name w:val="heading 2"/>
    <w:basedOn w:val="Normal"/>
    <w:next w:val="Textoindependiente"/>
    <w:link w:val="Ttulo2Car"/>
    <w:qFormat/>
    <w:rsid w:val="00A71BC2"/>
    <w:pPr>
      <w:spacing w:after="170" w:line="360" w:lineRule="auto"/>
      <w:jc w:val="left"/>
      <w:outlineLvl w:val="1"/>
    </w:pPr>
    <w:rPr>
      <w:rFonts w:eastAsia="Times New Roman"/>
      <w:b/>
      <w:kern w:val="18"/>
      <w:szCs w:val="20"/>
      <w:lang w:val="es-ES" w:eastAsia="es-ES"/>
    </w:rPr>
  </w:style>
  <w:style w:type="paragraph" w:styleId="Ttulo3">
    <w:name w:val="heading 3"/>
    <w:basedOn w:val="Normal"/>
    <w:next w:val="Textoindependiente"/>
    <w:link w:val="Ttulo3Car"/>
    <w:qFormat/>
    <w:rsid w:val="00A71BC2"/>
    <w:pPr>
      <w:overflowPunct w:val="0"/>
      <w:autoSpaceDE w:val="0"/>
      <w:autoSpaceDN w:val="0"/>
      <w:adjustRightInd w:val="0"/>
      <w:spacing w:after="180" w:line="360" w:lineRule="auto"/>
      <w:jc w:val="left"/>
      <w:textAlignment w:val="baseline"/>
      <w:outlineLvl w:val="2"/>
    </w:pPr>
    <w:rPr>
      <w:rFonts w:eastAsia="Times New Roman"/>
      <w:i/>
      <w:kern w:val="18"/>
      <w:szCs w:val="20"/>
      <w:lang w:val="es-ES" w:eastAsia="es-ES"/>
    </w:rPr>
  </w:style>
  <w:style w:type="paragraph" w:styleId="Ttulo4">
    <w:name w:val="heading 4"/>
    <w:basedOn w:val="Normal"/>
    <w:next w:val="Textoindependiente"/>
    <w:link w:val="Ttulo4Car"/>
    <w:qFormat/>
    <w:rsid w:val="003F3BDF"/>
    <w:pPr>
      <w:keepNext/>
      <w:keepLines/>
      <w:spacing w:after="0" w:line="240" w:lineRule="atLeast"/>
      <w:jc w:val="left"/>
      <w:outlineLvl w:val="3"/>
    </w:pPr>
    <w:rPr>
      <w:rFonts w:eastAsia="Times New Roman"/>
      <w:smallCaps/>
      <w:kern w:val="20"/>
      <w:sz w:val="23"/>
      <w:szCs w:val="20"/>
      <w:lang w:val="es-ES_tradnl" w:eastAsia="es-ES"/>
    </w:rPr>
  </w:style>
  <w:style w:type="paragraph" w:styleId="Ttulo5">
    <w:name w:val="heading 5"/>
    <w:basedOn w:val="Normal"/>
    <w:next w:val="Textoindependiente"/>
    <w:link w:val="Ttulo5Car"/>
    <w:qFormat/>
    <w:rsid w:val="003F3BDF"/>
    <w:pPr>
      <w:keepNext/>
      <w:keepLines/>
      <w:spacing w:after="0" w:line="240" w:lineRule="atLeast"/>
      <w:jc w:val="left"/>
      <w:outlineLvl w:val="4"/>
    </w:pPr>
    <w:rPr>
      <w:rFonts w:eastAsia="Times New Roman"/>
      <w:kern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3F3BDF"/>
    <w:rPr>
      <w:rFonts w:eastAsia="Times New Roman"/>
      <w:smallCaps/>
      <w:kern w:val="20"/>
      <w:sz w:val="23"/>
      <w:lang w:val="es-ES_tradnl" w:eastAsia="es-ES"/>
    </w:rPr>
  </w:style>
  <w:style w:type="character" w:customStyle="1" w:styleId="Ttulo5Car">
    <w:name w:val="Título 5 Car"/>
    <w:link w:val="Ttulo5"/>
    <w:rsid w:val="003F3BDF"/>
    <w:rPr>
      <w:rFonts w:eastAsia="Times New Roman"/>
      <w:kern w:val="20"/>
      <w:sz w:val="24"/>
      <w:lang w:val="es-ES_tradnl" w:eastAsia="es-ES"/>
    </w:rPr>
  </w:style>
  <w:style w:type="paragraph" w:styleId="Textoindependiente">
    <w:name w:val="Body Text"/>
    <w:basedOn w:val="Normal"/>
    <w:link w:val="TextoindependienteCar"/>
    <w:rsid w:val="003F3BDF"/>
    <w:pPr>
      <w:spacing w:after="240" w:line="240" w:lineRule="atLeast"/>
    </w:pPr>
    <w:rPr>
      <w:rFonts w:eastAsia="Times New Roman"/>
      <w:kern w:val="18"/>
      <w:szCs w:val="20"/>
      <w:lang w:val="es-ES_tradnl" w:eastAsia="es-ES"/>
    </w:rPr>
  </w:style>
  <w:style w:type="character" w:customStyle="1" w:styleId="TextoindependienteCar">
    <w:name w:val="Texto independiente Car"/>
    <w:link w:val="Textoindependiente"/>
    <w:rsid w:val="003F3BDF"/>
    <w:rPr>
      <w:rFonts w:eastAsia="Times New Roman"/>
      <w:kern w:val="18"/>
      <w:sz w:val="24"/>
      <w:lang w:val="es-ES_tradnl" w:eastAsia="es-ES"/>
    </w:rPr>
  </w:style>
  <w:style w:type="paragraph" w:customStyle="1" w:styleId="Nombredireccin">
    <w:name w:val="Nombre dirección"/>
    <w:basedOn w:val="Normal"/>
    <w:next w:val="Normal"/>
    <w:rsid w:val="003F3BDF"/>
    <w:pPr>
      <w:spacing w:before="220" w:after="0" w:line="240" w:lineRule="atLeast"/>
    </w:pPr>
    <w:rPr>
      <w:rFonts w:eastAsia="Times New Roman"/>
      <w:kern w:val="18"/>
      <w:szCs w:val="20"/>
      <w:lang w:val="es-ES" w:eastAsia="es-ES"/>
    </w:rPr>
  </w:style>
  <w:style w:type="paragraph" w:styleId="Piedepgina">
    <w:name w:val="footer"/>
    <w:basedOn w:val="Normal"/>
    <w:link w:val="PiedepginaCar"/>
    <w:semiHidden/>
    <w:rsid w:val="003F3BDF"/>
    <w:pPr>
      <w:tabs>
        <w:tab w:val="center" w:pos="4419"/>
        <w:tab w:val="right" w:pos="8838"/>
      </w:tabs>
      <w:spacing w:after="0" w:line="360" w:lineRule="auto"/>
    </w:pPr>
    <w:rPr>
      <w:rFonts w:eastAsia="Times New Roman"/>
      <w:kern w:val="18"/>
      <w:szCs w:val="20"/>
      <w:lang w:val="es-ES_tradnl" w:eastAsia="es-ES"/>
    </w:rPr>
  </w:style>
  <w:style w:type="character" w:customStyle="1" w:styleId="PiedepginaCar">
    <w:name w:val="Pie de página Car"/>
    <w:link w:val="Piedepgina"/>
    <w:semiHidden/>
    <w:rsid w:val="003F3BDF"/>
    <w:rPr>
      <w:rFonts w:eastAsia="Times New Roman"/>
      <w:kern w:val="18"/>
      <w:sz w:val="24"/>
      <w:lang w:val="es-ES_tradnl" w:eastAsia="es-ES"/>
    </w:rPr>
  </w:style>
  <w:style w:type="character" w:styleId="Nmerodepgina">
    <w:name w:val="page number"/>
    <w:basedOn w:val="Fuentedeprrafopredeter"/>
    <w:semiHidden/>
    <w:rsid w:val="003F3BDF"/>
  </w:style>
  <w:style w:type="character" w:customStyle="1" w:styleId="Ttulo1Car">
    <w:name w:val="Título 1 Car"/>
    <w:basedOn w:val="Fuentedeprrafopredeter"/>
    <w:link w:val="Ttulo1"/>
    <w:rsid w:val="00A71BC2"/>
    <w:rPr>
      <w:rFonts w:eastAsia="Times New Roman"/>
      <w:b/>
      <w:caps/>
      <w:kern w:val="18"/>
      <w:sz w:val="24"/>
      <w:lang w:val="es-ES" w:eastAsia="es-ES"/>
    </w:rPr>
  </w:style>
  <w:style w:type="paragraph" w:styleId="Subttulo">
    <w:name w:val="Subtitle"/>
    <w:basedOn w:val="Normal"/>
    <w:link w:val="SubttuloCar"/>
    <w:qFormat/>
    <w:rsid w:val="00A71BC2"/>
    <w:pPr>
      <w:spacing w:after="0" w:line="360" w:lineRule="auto"/>
    </w:pPr>
    <w:rPr>
      <w:rFonts w:ascii="Bookman Old Style" w:eastAsia="Times New Roman" w:hAnsi="Bookman Old Style"/>
      <w:b/>
      <w:kern w:val="18"/>
      <w:szCs w:val="20"/>
      <w:lang w:val="es-ES" w:eastAsia="es-ES"/>
    </w:rPr>
  </w:style>
  <w:style w:type="character" w:customStyle="1" w:styleId="SubttuloCar">
    <w:name w:val="Subtítulo Car"/>
    <w:basedOn w:val="Fuentedeprrafopredeter"/>
    <w:link w:val="Subttulo"/>
    <w:rsid w:val="00A71BC2"/>
    <w:rPr>
      <w:rFonts w:ascii="Bookman Old Style" w:eastAsia="Times New Roman" w:hAnsi="Bookman Old Style"/>
      <w:b/>
      <w:kern w:val="18"/>
      <w:sz w:val="24"/>
      <w:lang w:val="es-ES" w:eastAsia="es-ES"/>
    </w:rPr>
  </w:style>
  <w:style w:type="character" w:customStyle="1" w:styleId="Ttulo2Car">
    <w:name w:val="Título 2 Car"/>
    <w:basedOn w:val="Fuentedeprrafopredeter"/>
    <w:link w:val="Ttulo2"/>
    <w:rsid w:val="00A71BC2"/>
    <w:rPr>
      <w:rFonts w:eastAsia="Times New Roman"/>
      <w:b/>
      <w:kern w:val="18"/>
      <w:sz w:val="24"/>
      <w:lang w:val="es-ES" w:eastAsia="es-ES"/>
    </w:rPr>
  </w:style>
  <w:style w:type="paragraph" w:styleId="Sangra3detindependiente">
    <w:name w:val="Body Text Indent 3"/>
    <w:basedOn w:val="Normal"/>
    <w:link w:val="Sangra3detindependienteCar"/>
    <w:rsid w:val="00A71BC2"/>
    <w:pPr>
      <w:suppressAutoHyphens/>
      <w:spacing w:after="0" w:line="360" w:lineRule="auto"/>
      <w:ind w:firstLine="851"/>
    </w:pPr>
    <w:rPr>
      <w:rFonts w:eastAsia="Times New Roman"/>
      <w:kern w:val="18"/>
      <w:szCs w:val="20"/>
      <w:lang w:val="es-ES_tradnl" w:eastAsia="es-ES"/>
    </w:rPr>
  </w:style>
  <w:style w:type="character" w:customStyle="1" w:styleId="Sangra3detindependienteCar">
    <w:name w:val="Sangría 3 de t. independiente Car"/>
    <w:basedOn w:val="Fuentedeprrafopredeter"/>
    <w:link w:val="Sangra3detindependiente"/>
    <w:rsid w:val="00A71BC2"/>
    <w:rPr>
      <w:rFonts w:eastAsia="Times New Roman"/>
      <w:kern w:val="18"/>
      <w:sz w:val="24"/>
      <w:lang w:val="es-ES_tradnl" w:eastAsia="es-ES"/>
    </w:rPr>
  </w:style>
  <w:style w:type="character" w:customStyle="1" w:styleId="Ttulo3Car">
    <w:name w:val="Título 3 Car"/>
    <w:basedOn w:val="Fuentedeprrafopredeter"/>
    <w:link w:val="Ttulo3"/>
    <w:rsid w:val="00A71BC2"/>
    <w:rPr>
      <w:rFonts w:eastAsia="Times New Roman"/>
      <w:i/>
      <w:kern w:val="18"/>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3449</Words>
  <Characters>18970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 </cp:lastModifiedBy>
  <cp:revision>4</cp:revision>
  <cp:lastPrinted>2013-11-21T16:58:00Z</cp:lastPrinted>
  <dcterms:created xsi:type="dcterms:W3CDTF">2013-11-21T16:58:00Z</dcterms:created>
  <dcterms:modified xsi:type="dcterms:W3CDTF">2014-01-10T13:58:00Z</dcterms:modified>
</cp:coreProperties>
</file>