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38" w:rsidRDefault="00942338">
      <w:pPr>
        <w:tabs>
          <w:tab w:val="center" w:pos="4253"/>
        </w:tabs>
        <w:suppressAutoHyphens/>
        <w:jc w:val="center"/>
        <w:rPr>
          <w:b/>
          <w:bCs/>
          <w:lang w:val="es-ES_tradnl"/>
        </w:rPr>
      </w:pPr>
      <w:r>
        <w:rPr>
          <w:b/>
          <w:bCs/>
          <w:lang w:val="es-ES_tradnl"/>
        </w:rPr>
        <w:t>RESOLUCION ADOPTADA POR EL</w:t>
      </w:r>
    </w:p>
    <w:p w:rsidR="00942338" w:rsidRDefault="00942338">
      <w:pPr>
        <w:tabs>
          <w:tab w:val="center" w:pos="4253"/>
        </w:tabs>
        <w:suppressAutoHyphens/>
        <w:jc w:val="center"/>
        <w:rPr>
          <w:b/>
          <w:bCs/>
          <w:lang w:val="es-ES_tradnl"/>
        </w:rPr>
      </w:pPr>
      <w:r>
        <w:rPr>
          <w:b/>
          <w:bCs/>
          <w:lang w:val="es-ES_tradnl"/>
        </w:rPr>
        <w:t>TRIBUNAL DE CUENTAS</w:t>
      </w:r>
    </w:p>
    <w:p w:rsidR="00942338" w:rsidRDefault="00942338">
      <w:pPr>
        <w:tabs>
          <w:tab w:val="center" w:pos="4253"/>
        </w:tabs>
        <w:suppressAutoHyphens/>
        <w:jc w:val="center"/>
        <w:rPr>
          <w:b/>
          <w:bCs/>
          <w:lang w:val="es-ES_tradnl"/>
        </w:rPr>
      </w:pPr>
      <w:r>
        <w:rPr>
          <w:b/>
          <w:bCs/>
          <w:lang w:val="es-ES_tradnl"/>
        </w:rPr>
        <w:t>EN SESION DE FECHA  11 DE DICIEMBRE  DE   2013</w:t>
      </w:r>
    </w:p>
    <w:p w:rsidR="00942338" w:rsidRDefault="00942338">
      <w:pPr>
        <w:tabs>
          <w:tab w:val="center" w:pos="4253"/>
        </w:tabs>
        <w:suppressAutoHyphens/>
        <w:jc w:val="center"/>
        <w:rPr>
          <w:b/>
          <w:bCs/>
        </w:rPr>
      </w:pPr>
      <w:r>
        <w:rPr>
          <w:b/>
          <w:bCs/>
          <w:lang w:val="en-GB"/>
        </w:rPr>
        <w:t xml:space="preserve">(E. E. Nº 2013-17-1-0005324, Ent. </w:t>
      </w:r>
      <w:r>
        <w:rPr>
          <w:b/>
          <w:bCs/>
        </w:rPr>
        <w:t>N° 4705/13.)</w:t>
      </w:r>
    </w:p>
    <w:p w:rsidR="00942338" w:rsidRDefault="00942338">
      <w:pPr>
        <w:pStyle w:val="BodyText"/>
        <w:ind w:firstLine="708"/>
      </w:pPr>
      <w:r>
        <w:rPr>
          <w:b/>
          <w:bCs/>
        </w:rPr>
        <w:t>VISTO:</w:t>
      </w:r>
      <w:r>
        <w:t xml:space="preserve"> que este Tribunal ha examinado la Rendición de Cuentas y Balance de Ejecución Presupuestal de la Intendencia de Rocha correspondiente al Ejercicio 2012;</w:t>
      </w:r>
    </w:p>
    <w:p w:rsidR="00942338" w:rsidRDefault="00942338">
      <w:pPr>
        <w:pStyle w:val="BodyText"/>
        <w:ind w:firstLine="708"/>
      </w:pPr>
      <w:r>
        <w:rPr>
          <w:b/>
          <w:bCs/>
        </w:rPr>
        <w:t xml:space="preserve">RESULTANDO: </w:t>
      </w:r>
      <w:r>
        <w:rPr>
          <w:kern w:val="18"/>
        </w:rPr>
        <w:t>que el examen se efectuó de acuerdo con los Principios Fundamentales de Auditoría (ISSAI 100,200,300 y 400) y las Directrices de Auditoría Financiera (ISSAI 1000 a 2999) de la Organización Internacional de Entidades Fiscalizadoras Superiores (INTOSAI), habiéndose llevado a cabo los procedimientos considerados necesarios en las circunstancias;</w:t>
      </w:r>
    </w:p>
    <w:p w:rsidR="00942338" w:rsidRDefault="00942338">
      <w:pPr>
        <w:pStyle w:val="BodyText"/>
        <w:ind w:firstLine="708"/>
      </w:pPr>
      <w:r>
        <w:rPr>
          <w:b/>
          <w:bCs/>
        </w:rPr>
        <w:t xml:space="preserve">CONSIDERANDO: </w:t>
      </w:r>
      <w:r>
        <w:t>que las conclusiones y evidencias obtenidas son las que se expresan en el Informe de Auditoría, que incluye Dictamen e Informe a la Administración;</w:t>
      </w:r>
    </w:p>
    <w:p w:rsidR="00942338" w:rsidRDefault="00942338">
      <w:pPr>
        <w:pStyle w:val="BodyText"/>
        <w:ind w:firstLine="708"/>
      </w:pPr>
      <w:r>
        <w:rPr>
          <w:b/>
          <w:bCs/>
        </w:rPr>
        <w:t xml:space="preserve">ATENTO: </w:t>
      </w:r>
      <w:r>
        <w:t>a lo dispuesto por el Artículo 211 Literal C) de la Constitución de la República;</w:t>
      </w:r>
    </w:p>
    <w:p w:rsidR="00942338" w:rsidRDefault="00942338">
      <w:pPr>
        <w:pStyle w:val="Heading6"/>
      </w:pPr>
      <w:r>
        <w:t>EL TRIBUNAL ACUERDA</w:t>
      </w:r>
    </w:p>
    <w:p w:rsidR="00942338" w:rsidRDefault="00942338">
      <w:pPr>
        <w:pStyle w:val="List"/>
        <w:numPr>
          <w:ilvl w:val="0"/>
          <w:numId w:val="1"/>
        </w:numPr>
      </w:pPr>
      <w:r>
        <w:t xml:space="preserve">Emitir su Dictamen Constitucional respecto a la Rendición de Cuentas y                             Balance de Ejecución Presupuestal de la Intendencia de Rocha correspondiente al Ejercicio 2012, en los términos del Informe de Auditoría que se adjunta. </w:t>
      </w:r>
    </w:p>
    <w:p w:rsidR="00942338" w:rsidRDefault="00942338">
      <w:pPr>
        <w:pStyle w:val="List"/>
        <w:numPr>
          <w:ilvl w:val="0"/>
          <w:numId w:val="1"/>
        </w:numPr>
      </w:pPr>
      <w:r>
        <w:t>Comunicar la presente Resolución a la Intendencia de Rocha y a la Contadora Delegada.</w:t>
      </w:r>
    </w:p>
    <w:p w:rsidR="00942338" w:rsidRDefault="00942338">
      <w:pPr>
        <w:pStyle w:val="List"/>
        <w:numPr>
          <w:ilvl w:val="0"/>
          <w:numId w:val="1"/>
        </w:numPr>
      </w:pPr>
      <w:r>
        <w:t>Devolver los antecedentes a la Junta Departamental de Rocha; y</w:t>
      </w:r>
      <w:bookmarkStart w:id="0" w:name="_GoBack"/>
      <w:bookmarkEnd w:id="0"/>
    </w:p>
    <w:p w:rsidR="00942338" w:rsidRDefault="00942338">
      <w:pPr>
        <w:pStyle w:val="List"/>
        <w:numPr>
          <w:ilvl w:val="0"/>
          <w:numId w:val="1"/>
        </w:numPr>
      </w:pPr>
      <w:r>
        <w:t xml:space="preserve">Dar cuenta a la Asamblea General.  </w:t>
      </w:r>
    </w:p>
    <w:p w:rsidR="00942338" w:rsidRDefault="00942338">
      <w:pPr>
        <w:pStyle w:val="List"/>
      </w:pPr>
    </w:p>
    <w:p w:rsidR="00942338" w:rsidRDefault="00942338">
      <w:pPr>
        <w:pStyle w:val="List"/>
        <w:rPr>
          <w:rFonts w:ascii="Times New Roman" w:hAnsi="Times New Roman" w:cs="Times New Roman"/>
        </w:rPr>
      </w:pPr>
    </w:p>
    <w:p w:rsidR="00942338" w:rsidRDefault="00942338">
      <w:pPr>
        <w:pStyle w:val="Heading2"/>
        <w:jc w:val="center"/>
      </w:pPr>
      <w:bookmarkStart w:id="1" w:name="_Toc373758913"/>
      <w:r>
        <w:t>DICTAMEN</w:t>
      </w:r>
      <w:bookmarkEnd w:id="1"/>
    </w:p>
    <w:p w:rsidR="00942338" w:rsidRDefault="00942338">
      <w:pPr>
        <w:pStyle w:val="Subtitle"/>
        <w:rPr>
          <w:rFonts w:ascii="Arial" w:hAnsi="Arial" w:cs="Arial"/>
          <w:b w:val="0"/>
          <w:bCs w:val="0"/>
        </w:rPr>
      </w:pPr>
    </w:p>
    <w:p w:rsidR="00942338" w:rsidRDefault="00942338">
      <w:pPr>
        <w:pStyle w:val="Subtitle"/>
        <w:rPr>
          <w:rFonts w:ascii="Arial" w:hAnsi="Arial" w:cs="Arial"/>
          <w:b w:val="0"/>
          <w:bCs w:val="0"/>
          <w:kern w:val="0"/>
        </w:rPr>
      </w:pPr>
      <w:r>
        <w:rPr>
          <w:rFonts w:ascii="Arial" w:hAnsi="Arial" w:cs="Arial"/>
          <w:b w:val="0"/>
          <w:bCs w:val="0"/>
        </w:rPr>
        <w:t xml:space="preserve">El Tribunal de Cuentas ha examinado la Rendición de Cuentas y el Balance de Ejecución Presupuestal de la Intendencia de Rocha correspondiente al ejercicio 2012, que incluye los siguientes estados: </w:t>
      </w:r>
      <w:r>
        <w:rPr>
          <w:rFonts w:ascii="Arial" w:hAnsi="Arial" w:cs="Arial"/>
          <w:b w:val="0"/>
          <w:bCs w:val="0"/>
          <w:kern w:val="0"/>
        </w:rPr>
        <w:t xml:space="preserve">Ejecución Presupuestal con relación a los Recursos y a los Créditos, Resultado del Ejercicio, Resultado Acumulado y otros estados complementarios. </w:t>
      </w:r>
    </w:p>
    <w:p w:rsidR="00942338" w:rsidRDefault="00942338">
      <w:pPr>
        <w:pStyle w:val="Subtitle"/>
        <w:rPr>
          <w:rFonts w:ascii="Arial" w:hAnsi="Arial" w:cs="Arial"/>
          <w:b w:val="0"/>
          <w:bCs w:val="0"/>
        </w:rPr>
      </w:pPr>
      <w:r>
        <w:rPr>
          <w:rFonts w:ascii="Arial" w:hAnsi="Arial" w:cs="Arial"/>
          <w:b w:val="0"/>
          <w:bCs w:val="0"/>
        </w:rPr>
        <w:t>El Tribunal de Cuentas también ha auditado el cumplimiento por parte de la Intendencia de la normativa vigente.</w:t>
      </w:r>
    </w:p>
    <w:p w:rsidR="00942338" w:rsidRDefault="00942338">
      <w:pPr>
        <w:pStyle w:val="Subtitle"/>
        <w:rPr>
          <w:rFonts w:ascii="Arial" w:hAnsi="Arial" w:cs="Arial"/>
        </w:rPr>
      </w:pPr>
      <w:r>
        <w:rPr>
          <w:rFonts w:ascii="Arial" w:hAnsi="Arial" w:cs="Arial"/>
        </w:rPr>
        <w:t xml:space="preserve">Responsabilidad de la Intendencia </w:t>
      </w:r>
    </w:p>
    <w:p w:rsidR="00942338" w:rsidRDefault="00942338">
      <w:pPr>
        <w:pStyle w:val="BodyText"/>
      </w:pPr>
      <w: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942338" w:rsidRDefault="00942338">
      <w:pPr>
        <w:pStyle w:val="Subtitle"/>
        <w:rPr>
          <w:rFonts w:ascii="Arial" w:hAnsi="Arial" w:cs="Arial"/>
        </w:rPr>
      </w:pPr>
      <w:r>
        <w:rPr>
          <w:rFonts w:ascii="Arial" w:hAnsi="Arial" w:cs="Arial"/>
        </w:rPr>
        <w:t>Responsabilidad del auditor</w:t>
      </w:r>
    </w:p>
    <w:p w:rsidR="00942338" w:rsidRDefault="00942338">
      <w:pPr>
        <w:pStyle w:val="Subtitle"/>
        <w:rPr>
          <w:rFonts w:ascii="Arial" w:hAnsi="Arial" w:cs="Arial"/>
          <w:b w:val="0"/>
          <w:bCs w:val="0"/>
        </w:rPr>
      </w:pPr>
      <w:r>
        <w:rPr>
          <w:rFonts w:ascii="Arial" w:hAnsi="Arial" w:cs="Arial"/>
          <w:b w:val="0"/>
          <w:bCs w:val="0"/>
        </w:rPr>
        <w:t xml:space="preserve">La responsabilidad del Tribunal de Cuentas es expresar una opinión sobre dichos estados contables basada en la auditoría realizada. Esta auditoria fue practicada de acuerdo con los Principios Fundamentales de Auditoria (ISSAI 100, 200, 300 y 400) y las Directrices de Auditoria Financiera (ISSAI 1000 a 2999)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 </w:t>
      </w:r>
    </w:p>
    <w:p w:rsidR="00942338" w:rsidRDefault="00942338">
      <w:pPr>
        <w:pStyle w:val="Subtitle"/>
        <w:rPr>
          <w:rFonts w:ascii="Arial" w:hAnsi="Arial" w:cs="Arial"/>
          <w:b w:val="0"/>
          <w:bCs w:val="0"/>
        </w:rPr>
      </w:pPr>
      <w:r>
        <w:rPr>
          <w:rFonts w:ascii="Arial" w:hAnsi="Arial" w:cs="Arial"/>
          <w:b w:val="0"/>
          <w:bCs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942338" w:rsidRDefault="00942338">
      <w:pPr>
        <w:pStyle w:val="BodyText"/>
      </w:pPr>
      <w:r>
        <w:t>Se considera que la evidencia de auditoría obtenida brinda una base suficiente y apropiada para sustentar la opinión.</w:t>
      </w:r>
    </w:p>
    <w:p w:rsidR="00942338" w:rsidRDefault="00942338">
      <w:pPr>
        <w:pStyle w:val="BodyText"/>
        <w:rPr>
          <w:b/>
          <w:bCs/>
        </w:rPr>
      </w:pPr>
      <w:r>
        <w:rPr>
          <w:b/>
          <w:bCs/>
        </w:rPr>
        <w:t xml:space="preserve">Bases para la opinión </w:t>
      </w:r>
    </w:p>
    <w:p w:rsidR="00942338" w:rsidRDefault="00942338">
      <w:pPr>
        <w:pStyle w:val="Subtitle"/>
        <w:rPr>
          <w:rFonts w:ascii="Arial" w:hAnsi="Arial" w:cs="Arial"/>
          <w:b w:val="0"/>
          <w:bCs w:val="0"/>
        </w:rPr>
      </w:pPr>
      <w:r>
        <w:rPr>
          <w:rFonts w:ascii="Arial" w:hAnsi="Arial" w:cs="Arial"/>
        </w:rPr>
        <w:t xml:space="preserve">1. </w:t>
      </w:r>
      <w:r>
        <w:rPr>
          <w:rFonts w:ascii="Arial" w:hAnsi="Arial" w:cs="Arial"/>
          <w:b w:val="0"/>
          <w:bCs w:val="0"/>
        </w:rPr>
        <w:t>Al analizar el documento de Rendición de Cuentas y comparar los montos expuestos con los que resultan del sistema contable, se han detectado diferencias entre los mismos, que provienen en algunos casos de ajustes extracontables que se realizaron para elaborar los estados del referido documento, de acuerdo al siguiente detalle:</w:t>
      </w:r>
    </w:p>
    <w:p w:rsidR="00942338" w:rsidRDefault="00942338">
      <w:pPr>
        <w:pStyle w:val="Subtitle"/>
      </w:pPr>
      <w:r>
        <w:rPr>
          <w:rFonts w:ascii="Arial" w:hAnsi="Arial" w:cs="Arial"/>
          <w:spacing w:val="8"/>
        </w:rPr>
        <w:t>1.1</w:t>
      </w:r>
      <w:r>
        <w:rPr>
          <w:b w:val="0"/>
          <w:bCs w:val="0"/>
          <w:spacing w:val="8"/>
        </w:rPr>
        <w:t xml:space="preserve"> </w:t>
      </w:r>
      <w:r>
        <w:rPr>
          <w:rFonts w:ascii="Arial" w:hAnsi="Arial" w:cs="Arial"/>
          <w:b w:val="0"/>
          <w:bCs w:val="0"/>
          <w:spacing w:val="8"/>
        </w:rPr>
        <w:t xml:space="preserve">El saldo de la cuenta caja asciende, según el documento de </w:t>
      </w:r>
      <w:r>
        <w:rPr>
          <w:rFonts w:ascii="Arial" w:hAnsi="Arial" w:cs="Arial"/>
          <w:b w:val="0"/>
          <w:bCs w:val="0"/>
          <w:spacing w:val="-12"/>
        </w:rPr>
        <w:t>Rendición, a $ 15:061.333, mientras que según el sistema contable es de $</w:t>
      </w:r>
      <w:r>
        <w:rPr>
          <w:rFonts w:ascii="Arial" w:hAnsi="Arial" w:cs="Arial"/>
          <w:b w:val="0"/>
          <w:bCs w:val="0"/>
        </w:rPr>
        <w:t xml:space="preserve"> 16:651.514.</w:t>
      </w:r>
    </w:p>
    <w:p w:rsidR="00942338" w:rsidRDefault="00942338">
      <w:pPr>
        <w:pStyle w:val="BodyText"/>
      </w:pPr>
      <w:r>
        <w:rPr>
          <w:b/>
          <w:bCs/>
        </w:rPr>
        <w:t>1.2</w:t>
      </w:r>
      <w:r>
        <w:t xml:space="preserve"> El saldo de las cuentas bancarias asciende según el documento de </w:t>
      </w:r>
      <w:r>
        <w:rPr>
          <w:spacing w:val="8"/>
        </w:rPr>
        <w:t>Rendición a $ 163:578.038, mientras que según el sistema contable es de $</w:t>
      </w:r>
      <w:r>
        <w:t xml:space="preserve"> 141:858.521.</w:t>
      </w:r>
    </w:p>
    <w:p w:rsidR="00942338" w:rsidRDefault="00942338">
      <w:pPr>
        <w:spacing w:line="360" w:lineRule="auto"/>
      </w:pPr>
      <w:r>
        <w:rPr>
          <w:b/>
          <w:bCs/>
        </w:rPr>
        <w:t>1.3</w:t>
      </w:r>
      <w:r>
        <w:t xml:space="preserve"> El total pagado del “Estado de Egresos Presupuestales” del ejercicio 2012 asciende según el documento de Rendición a $ 939:944.304 en tanto que en el sistema contable es de $ 931:273.062. En el “Estado de Egresos Extra Presupuestales” el total pagado asciende a $ 12:209.562 mientras que en los listados del sistema contable es de $ 12:301.950.</w:t>
      </w:r>
    </w:p>
    <w:p w:rsidR="00942338" w:rsidRDefault="00942338">
      <w:pPr>
        <w:spacing w:after="0" w:line="360" w:lineRule="auto"/>
        <w:rPr>
          <w:lang w:val="es-MX"/>
        </w:rPr>
      </w:pPr>
      <w:r>
        <w:rPr>
          <w:b/>
          <w:bCs/>
          <w:lang w:val="es-MX"/>
        </w:rPr>
        <w:t>1.4</w:t>
      </w:r>
      <w:r>
        <w:rPr>
          <w:lang w:val="es-MX"/>
        </w:rPr>
        <w:t xml:space="preserve"> El saldo de los “Estados de Obligaciones Presupuestales Impagas y Extra Presupuestales” expuesto en la Rendición de Cuentas asciende según el documento a $ 109:692.263, mientras que el saldo de dichas cuentas que resulta del sistema contable es de $ 66:934.829.</w:t>
      </w:r>
    </w:p>
    <w:p w:rsidR="00942338" w:rsidRDefault="00942338">
      <w:pPr>
        <w:spacing w:after="0" w:line="360" w:lineRule="auto"/>
      </w:pPr>
      <w:r>
        <w:rPr>
          <w:b/>
          <w:bCs/>
        </w:rPr>
        <w:t>1.5</w:t>
      </w:r>
      <w:r>
        <w:t xml:space="preserve"> El  saldo al cierre de los fondos indisponibles  según el documento de </w:t>
      </w:r>
      <w:r>
        <w:rPr>
          <w:spacing w:val="6"/>
        </w:rPr>
        <w:t>Rendición asciende a $ 40:324.911 siendo el saldo del sistema contable de $</w:t>
      </w:r>
      <w:r>
        <w:t xml:space="preserve"> 56:770.127.</w:t>
      </w:r>
    </w:p>
    <w:p w:rsidR="00942338" w:rsidRDefault="00942338">
      <w:pPr>
        <w:widowControl w:val="0"/>
        <w:spacing w:after="0" w:line="360" w:lineRule="auto"/>
      </w:pPr>
      <w:r>
        <w:rPr>
          <w:b/>
          <w:bCs/>
        </w:rPr>
        <w:t>2.</w:t>
      </w:r>
      <w:r>
        <w:t xml:space="preserve"> Se incluyeron como ingresos, recursos que no son propios ($ 10:558.705) o que no correspondían al ejercicio ($ 4:030.069).</w:t>
      </w:r>
    </w:p>
    <w:p w:rsidR="00942338" w:rsidRDefault="00942338">
      <w:pPr>
        <w:spacing w:after="0" w:line="360" w:lineRule="auto"/>
      </w:pPr>
      <w:r>
        <w:rPr>
          <w:b/>
          <w:bCs/>
        </w:rPr>
        <w:t xml:space="preserve">3. </w:t>
      </w:r>
      <w:r>
        <w:t>Se presentan</w:t>
      </w:r>
      <w:r>
        <w:rPr>
          <w:b/>
          <w:bCs/>
        </w:rPr>
        <w:t xml:space="preserve"> </w:t>
      </w:r>
      <w:r>
        <w:t>inconsistencias en la información incluida en los distintos estados del documento de Rendición de Cuentas.</w:t>
      </w:r>
    </w:p>
    <w:p w:rsidR="00942338" w:rsidRDefault="00942338">
      <w:pPr>
        <w:spacing w:line="360" w:lineRule="auto"/>
        <w:rPr>
          <w:lang w:val="es-MX"/>
        </w:rPr>
      </w:pPr>
      <w:r>
        <w:rPr>
          <w:b/>
          <w:bCs/>
        </w:rPr>
        <w:t>4.</w:t>
      </w:r>
      <w:r>
        <w:t xml:space="preserve"> Existen  juicios </w:t>
      </w:r>
      <w:r>
        <w:rPr>
          <w:lang w:val="es-MX"/>
        </w:rPr>
        <w:t xml:space="preserve">reclamados contra la Intendencia con sentencia de condena </w:t>
      </w:r>
      <w:r>
        <w:rPr>
          <w:spacing w:val="-10"/>
          <w:lang w:val="es-MX"/>
        </w:rPr>
        <w:t>e impagos al 31/12/12, que no fueron contabilizados, por un importe de  $</w:t>
      </w:r>
      <w:r>
        <w:rPr>
          <w:lang w:val="es-MX"/>
        </w:rPr>
        <w:t xml:space="preserve"> 18:817.185.</w:t>
      </w:r>
    </w:p>
    <w:p w:rsidR="00942338" w:rsidRDefault="00942338">
      <w:pPr>
        <w:spacing w:line="360" w:lineRule="auto"/>
      </w:pPr>
      <w:r>
        <w:t xml:space="preserve">El documento presentado </w:t>
      </w:r>
      <w:r>
        <w:rPr>
          <w:spacing w:val="-14"/>
        </w:rPr>
        <w:t>incluye deudas por juicios por $</w:t>
      </w:r>
      <w:r>
        <w:t xml:space="preserve"> 31:855.966, que no fueron tenidas en cuenta en el resultado acumulado al 31/12/12. Asimismo, en el sistema contable no se efectuaron registraciones por dicho concepto.</w:t>
      </w:r>
    </w:p>
    <w:p w:rsidR="00942338" w:rsidRDefault="00942338">
      <w:pPr>
        <w:spacing w:after="0" w:line="360" w:lineRule="auto"/>
      </w:pPr>
      <w:r>
        <w:rPr>
          <w:b/>
          <w:bCs/>
        </w:rPr>
        <w:t>5.</w:t>
      </w:r>
      <w:r>
        <w:t xml:space="preserve"> La Intendencia no registró contablemente ni expuso en el documento de Rendición la deuda al 31/12/12 por U$S 2:479.077 correspondiente al </w:t>
      </w:r>
      <w:r>
        <w:rPr>
          <w:spacing w:val="12"/>
        </w:rPr>
        <w:t xml:space="preserve">Convenio de Pago firmado entre la Intendencia y el BROU el 05/09/11. </w:t>
      </w:r>
      <w:r>
        <w:rPr>
          <w:b/>
          <w:bCs/>
        </w:rPr>
        <w:t>6.</w:t>
      </w:r>
      <w:r>
        <w:t xml:space="preserve"> No se incluye en la Rendición de Cuentas información respecto de la  deuda por concepto de intereses en cuenta corriente con la Cooperativa Médica de Rocha (CO.ME.RO), por un monto de U$S 1:107.730. De acuerdo a  la cláusula quinta del convenio de pago vigente a la fecha firmado el 16/09/08, dicha deuda será condonada una vez que la Intendencia realice todos los pagos en tiempo y forma, no habiéndose finalizado aún con los referidos pagos.</w:t>
      </w:r>
    </w:p>
    <w:p w:rsidR="00942338" w:rsidRDefault="00942338">
      <w:pPr>
        <w:spacing w:line="360" w:lineRule="auto"/>
        <w:rPr>
          <w:lang w:val="es-MX"/>
        </w:rPr>
      </w:pPr>
      <w:r>
        <w:rPr>
          <w:b/>
          <w:bCs/>
        </w:rPr>
        <w:t>7.</w:t>
      </w:r>
      <w:r>
        <w:t xml:space="preserve"> </w:t>
      </w:r>
      <w:r>
        <w:rPr>
          <w:lang w:val="es-MX"/>
        </w:rPr>
        <w:t>La diferencia de cambio expuesta en el Estado de “Evolución de Convenios” presenta errores de cálculo por un importe neto en menos de $ 5:287.466.</w:t>
      </w:r>
    </w:p>
    <w:p w:rsidR="00942338" w:rsidRDefault="00942338">
      <w:pPr>
        <w:spacing w:after="0" w:line="360" w:lineRule="auto"/>
        <w:rPr>
          <w:b/>
          <w:bCs/>
          <w:lang w:val="es-MX"/>
        </w:rPr>
      </w:pPr>
      <w:r>
        <w:rPr>
          <w:b/>
          <w:bCs/>
        </w:rPr>
        <w:t xml:space="preserve">8. </w:t>
      </w:r>
      <w:r>
        <w:rPr>
          <w:lang w:val="es-MX"/>
        </w:rPr>
        <w:t>El resultado acumulado del ejercicio 2012 difiere en $ 54:766.805 de la suma del resultado acumulado del ejercicio 2011 más el resultado del ejercicio 2012</w:t>
      </w:r>
      <w:r>
        <w:rPr>
          <w:b/>
          <w:bCs/>
          <w:lang w:val="es-MX"/>
        </w:rPr>
        <w:t>.</w:t>
      </w:r>
    </w:p>
    <w:p w:rsidR="00942338" w:rsidRDefault="00942338">
      <w:pPr>
        <w:spacing w:after="0" w:line="360" w:lineRule="auto"/>
        <w:rPr>
          <w:b/>
          <w:bCs/>
          <w:lang w:val="es-MX"/>
        </w:rPr>
      </w:pPr>
      <w:r>
        <w:rPr>
          <w:b/>
          <w:bCs/>
          <w:lang w:val="es-MX"/>
        </w:rPr>
        <w:t xml:space="preserve">9. </w:t>
      </w:r>
      <w:r>
        <w:rPr>
          <w:lang w:val="es-MX"/>
        </w:rPr>
        <w:t>Al 31/12/12 se encontraban pendientes de pago liquidaciones de sueldos correspondientes al mes de diciembre por un importe de $ 28:488.017. El monto expuesto en el detalle de las obligaciones presupuestales impagas asciende a $ 46:545.909</w:t>
      </w:r>
      <w:r>
        <w:rPr>
          <w:b/>
          <w:bCs/>
          <w:lang w:val="es-MX"/>
        </w:rPr>
        <w:t>.</w:t>
      </w:r>
    </w:p>
    <w:p w:rsidR="00942338" w:rsidRDefault="00942338">
      <w:pPr>
        <w:spacing w:after="0" w:line="360" w:lineRule="auto"/>
      </w:pPr>
      <w:r>
        <w:rPr>
          <w:b/>
          <w:bCs/>
          <w:lang w:val="es-MX"/>
        </w:rPr>
        <w:t>10.</w:t>
      </w:r>
      <w:r>
        <w:rPr>
          <w:lang w:val="es-MX"/>
        </w:rPr>
        <w:t xml:space="preserve"> El Estado de </w:t>
      </w:r>
      <w:r>
        <w:t>Evolución de las Obligaciones Presupuestales Impagas presenta un ajuste del saldo inicial de $ 18:314.095. Se solicitó por Nota del 29/07/13 el desglose de dicho ajuste y se reiteró el pedido por Nota del 06/08/13, no habiéndose proporcionado a la fecha dicha  información.</w:t>
      </w:r>
    </w:p>
    <w:p w:rsidR="00942338" w:rsidRDefault="00942338">
      <w:pPr>
        <w:pStyle w:val="BodyText"/>
        <w:rPr>
          <w:lang w:val="es-MX"/>
        </w:rPr>
      </w:pPr>
      <w:r>
        <w:rPr>
          <w:lang w:val="es-MX"/>
        </w:rPr>
        <w:t>El listado del sistema informático que refleja el total pagado por ejercicio por obligaciones presupuestales, no incluye el monto real pagado por concepto de sueldo, siendo la cifra expuesta en la columna de “Pagado”  de dicho Estado, estimativa.</w:t>
      </w:r>
    </w:p>
    <w:p w:rsidR="00942338" w:rsidRDefault="00942338">
      <w:pPr>
        <w:pStyle w:val="Subtitle"/>
        <w:rPr>
          <w:rFonts w:ascii="Arial" w:hAnsi="Arial" w:cs="Arial"/>
        </w:rPr>
      </w:pPr>
      <w:r>
        <w:rPr>
          <w:rFonts w:ascii="Arial" w:hAnsi="Arial" w:cs="Arial"/>
        </w:rPr>
        <w:t>Opinión Adversa</w:t>
      </w:r>
    </w:p>
    <w:p w:rsidR="00942338" w:rsidRDefault="00942338">
      <w:pPr>
        <w:spacing w:after="0" w:line="360" w:lineRule="auto"/>
      </w:pPr>
      <w:r>
        <w:t>En opinión del Tribunal de Cuentas, debido a los efectos de lo descripto en el párrafo anterior, los estados contables mencionados no presentan razonablemente la Ejecución Presupuestal con relación a los Recursos y a los Créditos, el Resultado del ejercicio 2012 y el Resultado Acumulado al 31/12/12, de la Intendencia de Rocha correspondientes al ejercicio anual terminado en esa fecha de acuerdo a las normas establecidas en el TOCAF y la Resolución de este Tribunal  de 28/01/04.</w:t>
      </w:r>
    </w:p>
    <w:p w:rsidR="00942338" w:rsidRDefault="00942338">
      <w:pPr>
        <w:spacing w:after="0" w:line="360" w:lineRule="auto"/>
      </w:pPr>
      <w: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942338" w:rsidRDefault="00942338">
      <w:pPr>
        <w:widowControl w:val="0"/>
        <w:numPr>
          <w:ilvl w:val="0"/>
          <w:numId w:val="2"/>
        </w:numPr>
        <w:autoSpaceDE w:val="0"/>
        <w:autoSpaceDN w:val="0"/>
        <w:adjustRightInd w:val="0"/>
        <w:spacing w:after="0" w:line="360" w:lineRule="auto"/>
      </w:pPr>
      <w:r>
        <w:rPr>
          <w:b/>
          <w:bCs/>
        </w:rPr>
        <w:t>Artículo 86 de la Constitución de la República:</w:t>
      </w:r>
      <w:r>
        <w:t xml:space="preserve"> Durante el ejercicio 2012 no se dio cumplimiento a la estructura orgánica establecida en la instancia presupuestal al no respetarse en su totalidad la estructura de escalafones y  cargos funcionales aprobados. La escala salarial utilizada para fijar las retribuciones personales fue diferente a la prevista por las normas presupuestales. </w:t>
      </w:r>
    </w:p>
    <w:p w:rsidR="00942338" w:rsidRDefault="00942338">
      <w:pPr>
        <w:numPr>
          <w:ilvl w:val="0"/>
          <w:numId w:val="2"/>
        </w:numPr>
        <w:spacing w:after="0" w:line="360" w:lineRule="auto"/>
        <w:rPr>
          <w:lang w:val="es-ES_tradnl"/>
        </w:rPr>
      </w:pPr>
      <w:r>
        <w:rPr>
          <w:b/>
          <w:bCs/>
        </w:rPr>
        <w:t>Artículo 211 Literal B) de la Constitución de la República:</w:t>
      </w:r>
      <w:r>
        <w:t xml:space="preserve"> Se constataron casos de contrataciones de bienes  y servicios que comenzaron a ejecutarse con anterioridad a la intervención preventiva del gasto por parte de este Tribunal, contraviniéndose el Artículo 211 Literal B) de la Constitución de la República. </w:t>
      </w:r>
    </w:p>
    <w:p w:rsidR="00942338" w:rsidRDefault="00942338">
      <w:pPr>
        <w:pStyle w:val="BodyText"/>
        <w:numPr>
          <w:ilvl w:val="0"/>
          <w:numId w:val="2"/>
        </w:numPr>
      </w:pPr>
      <w:r>
        <w:rPr>
          <w:b/>
          <w:bCs/>
        </w:rPr>
        <w:t xml:space="preserve">Leyes N° 3.299 (BROU – Crédito Social), N° 17.198 (ANDA) y otras. </w:t>
      </w:r>
      <w:r>
        <w:t xml:space="preserve">La Intendencia, al cierre del ejercicio 2012, no ha vertido en tiempo y forma los fondos indisponibles retenidos a los funcionarios, en especial los correspondientes al BROU-Crédito Social, ANDA, Comisión Camping Municipal, Cooperativa Policial y Rutas del Sol, los cuales tienen una antigüedad que oscila entre 7 y 12 años.  </w:t>
      </w:r>
    </w:p>
    <w:p w:rsidR="00942338" w:rsidRDefault="00942338">
      <w:pPr>
        <w:pStyle w:val="BodyText"/>
        <w:numPr>
          <w:ilvl w:val="0"/>
          <w:numId w:val="2"/>
        </w:numPr>
        <w:rPr>
          <w:lang w:val="es-MX"/>
        </w:rPr>
      </w:pPr>
      <w:r>
        <w:rPr>
          <w:b/>
          <w:bCs/>
        </w:rPr>
        <w:t xml:space="preserve">Artículo 20 Numeral 1) del TOCAF. </w:t>
      </w:r>
      <w:r>
        <w:rPr>
          <w:lang w:val="es-MX"/>
        </w:rPr>
        <w:t>Se efectuaron adelantos de sueldos a funcionarios que mantenían retenciones de sueldos pendientes de descontar.</w:t>
      </w:r>
    </w:p>
    <w:p w:rsidR="00942338" w:rsidRDefault="00942338">
      <w:pPr>
        <w:pStyle w:val="BodyText"/>
        <w:numPr>
          <w:ilvl w:val="0"/>
          <w:numId w:val="2"/>
        </w:numPr>
        <w:rPr>
          <w:lang w:val="es-ES_tradnl"/>
        </w:rPr>
      </w:pPr>
      <w:r>
        <w:rPr>
          <w:b/>
          <w:bCs/>
        </w:rPr>
        <w:t>Artículo 3 de la Ley N° 17.829 en la redacción dada por el Artículo 107 de la Ley N° 18.083</w:t>
      </w:r>
      <w:r>
        <w:rPr>
          <w:lang w:val="es-MX"/>
        </w:rPr>
        <w:t xml:space="preserve"> </w:t>
      </w:r>
      <w:r>
        <w:rPr>
          <w:b/>
          <w:bCs/>
          <w:lang w:val="es-MX"/>
        </w:rPr>
        <w:t xml:space="preserve">y </w:t>
      </w:r>
      <w:r>
        <w:rPr>
          <w:b/>
          <w:bCs/>
        </w:rPr>
        <w:t>Decreto Nº 429/004.</w:t>
      </w:r>
      <w:r>
        <w:t xml:space="preserve"> </w:t>
      </w:r>
      <w:r>
        <w:rPr>
          <w:lang w:val="es-MX"/>
        </w:rPr>
        <w:t>Se realizaron liquidaciones de sueldos  y de aguinaldos en las que no se cumplió con lo establecido en la referida ley al no abonarse el 30% del sueldo líquido en efectivo.</w:t>
      </w:r>
      <w:r>
        <w:t xml:space="preserve"> </w:t>
      </w:r>
    </w:p>
    <w:p w:rsidR="00942338" w:rsidRDefault="00942338">
      <w:pPr>
        <w:pStyle w:val="BodyText"/>
        <w:numPr>
          <w:ilvl w:val="0"/>
          <w:numId w:val="2"/>
        </w:numPr>
        <w:rPr>
          <w:lang w:val="es-ES_tradnl"/>
        </w:rPr>
      </w:pPr>
      <w:r>
        <w:rPr>
          <w:b/>
          <w:bCs/>
        </w:rPr>
        <w:t xml:space="preserve">Artículo 416 de la Ley N° 17.930. </w:t>
      </w:r>
      <w:r>
        <w:t>Se otorgaron anticipos o vales a rendir cuenta a funcionarios que tenían pendiente la rendición de partidas anteriores.</w:t>
      </w:r>
    </w:p>
    <w:p w:rsidR="00942338" w:rsidRDefault="00942338">
      <w:pPr>
        <w:pStyle w:val="BodyText"/>
        <w:numPr>
          <w:ilvl w:val="0"/>
          <w:numId w:val="2"/>
        </w:numPr>
        <w:rPr>
          <w:lang w:val="es-MX"/>
        </w:rPr>
      </w:pPr>
      <w:r>
        <w:rPr>
          <w:b/>
          <w:bCs/>
        </w:rPr>
        <w:t xml:space="preserve">Artículo 478 de la Ley N° 17.930 y Artículo 25 del TOCAF. </w:t>
      </w:r>
      <w:r>
        <w:t>La Intendencia efectuó compensaciones de tributos con sus acreedores sin cumplir con lo establecido en las mencionadas normas.</w:t>
      </w:r>
    </w:p>
    <w:p w:rsidR="00942338" w:rsidRDefault="00942338">
      <w:pPr>
        <w:numPr>
          <w:ilvl w:val="0"/>
          <w:numId w:val="2"/>
        </w:numPr>
        <w:spacing w:after="0" w:line="360" w:lineRule="auto"/>
        <w:rPr>
          <w:lang w:val="es-MX"/>
        </w:rPr>
      </w:pPr>
      <w:r>
        <w:rPr>
          <w:b/>
          <w:bCs/>
        </w:rPr>
        <w:t>Artículo 12 del TOCAF.</w:t>
      </w:r>
      <w:r>
        <w:t xml:space="preserve"> La Intendencia computó como recursos del ejercicio 2012, fondos recibidos en el año 2013.</w:t>
      </w:r>
    </w:p>
    <w:p w:rsidR="00942338" w:rsidRDefault="00942338">
      <w:pPr>
        <w:numPr>
          <w:ilvl w:val="0"/>
          <w:numId w:val="2"/>
        </w:numPr>
        <w:spacing w:after="0" w:line="360" w:lineRule="auto"/>
        <w:rPr>
          <w:lang w:val="es-MX"/>
        </w:rPr>
      </w:pPr>
      <w:r>
        <w:rPr>
          <w:b/>
          <w:bCs/>
        </w:rPr>
        <w:t xml:space="preserve">Artículo 14 del TOCAF. </w:t>
      </w:r>
      <w:r>
        <w:t>Existen funcionarios con contratos vencidos que siguen prestando servicios y funcionarios que prestan servicios sin haber sido designados previamente.</w:t>
      </w:r>
    </w:p>
    <w:p w:rsidR="00942338" w:rsidRDefault="00942338">
      <w:pPr>
        <w:numPr>
          <w:ilvl w:val="0"/>
          <w:numId w:val="2"/>
        </w:numPr>
        <w:spacing w:after="0" w:line="360" w:lineRule="auto"/>
        <w:rPr>
          <w:lang w:val="es-MX"/>
        </w:rPr>
      </w:pPr>
      <w:r>
        <w:rPr>
          <w:b/>
          <w:bCs/>
        </w:rPr>
        <w:t>Artículos 15 y 33 del TOCAF.</w:t>
      </w:r>
      <w:r>
        <w:rPr>
          <w:lang w:val="es-MX"/>
        </w:rPr>
        <w:t xml:space="preserve"> Se realizaron compras con fondos a rendir cuentas sin verificar previamente la existencia de crédito presupuestal ni el cumplimiento de las disposiciones legales en materia de contratación.</w:t>
      </w:r>
    </w:p>
    <w:p w:rsidR="00942338" w:rsidRDefault="00942338">
      <w:pPr>
        <w:pStyle w:val="BodyText"/>
        <w:numPr>
          <w:ilvl w:val="0"/>
          <w:numId w:val="2"/>
        </w:numPr>
        <w:rPr>
          <w:lang w:val="es-ES_tradnl"/>
        </w:rPr>
      </w:pPr>
      <w:r>
        <w:rPr>
          <w:b/>
          <w:bCs/>
        </w:rPr>
        <w:t xml:space="preserve">Artículos 33 y 43 del TOCAF. </w:t>
      </w:r>
      <w:r>
        <w:t>En el ejercicio 2012 no se ha dado cumplimiento en todos los casos a estas normas al haberse adquirido bienes y servicios sin aplicar el procedimiento competitivo que hubieran correspondido de acuerdo al monto  y  al efectuarse adquisiciones de artículos de un mismo ramo en forma fraccionada, sin dejar constancia de sus fundamentos.</w:t>
      </w:r>
    </w:p>
    <w:p w:rsidR="00942338" w:rsidRDefault="00942338">
      <w:pPr>
        <w:pStyle w:val="BodyText"/>
        <w:numPr>
          <w:ilvl w:val="0"/>
          <w:numId w:val="2"/>
        </w:numPr>
      </w:pPr>
      <w:r>
        <w:rPr>
          <w:b/>
          <w:bCs/>
        </w:rPr>
        <w:t xml:space="preserve"> Artículo 48 del TOCAF.  </w:t>
      </w:r>
      <w:r>
        <w:t>En algunas</w:t>
      </w:r>
      <w:r>
        <w:rPr>
          <w:b/>
          <w:bCs/>
        </w:rPr>
        <w:t xml:space="preserve"> </w:t>
      </w:r>
      <w:r>
        <w:t>licitaciones los pliegos no contienen la ponderación de los principales factores que se tendrán en cuenta para evaluar la oferta, y se impone al oferente requisitos que no están directamente vinculados a la consideración del objeto de la contratación y a la evaluación de la oferta. En otras licitaciones se produjeron apartamientos de lo establecido en el pliego particular de condiciones.</w:t>
      </w:r>
    </w:p>
    <w:p w:rsidR="00942338" w:rsidRDefault="00942338">
      <w:pPr>
        <w:pStyle w:val="BodyText"/>
        <w:numPr>
          <w:ilvl w:val="0"/>
          <w:numId w:val="2"/>
        </w:numPr>
      </w:pPr>
      <w:r>
        <w:rPr>
          <w:b/>
          <w:bCs/>
        </w:rPr>
        <w:t xml:space="preserve">Artículo 50 del TOCAF. </w:t>
      </w:r>
      <w:r>
        <w:t>No se realizaron en todos los casos las publicaciones en la página web de Compras y Contrataciones Estatales, de las contrataciones de obras, bienes y servicios, así como las ampliaciones y los actos de reiteración de gastos observados por el Tribunal de Cuentas.</w:t>
      </w:r>
    </w:p>
    <w:p w:rsidR="00942338" w:rsidRDefault="00942338">
      <w:pPr>
        <w:pStyle w:val="BodyText"/>
        <w:numPr>
          <w:ilvl w:val="0"/>
          <w:numId w:val="2"/>
        </w:numPr>
      </w:pPr>
      <w:r>
        <w:rPr>
          <w:b/>
          <w:bCs/>
        </w:rPr>
        <w:t>Artículo 64 del TOCAF.</w:t>
      </w:r>
      <w:r>
        <w:t xml:space="preserve"> En algunos expedientes en los que se tramitaron las licitaciones abreviadas no constaba que se hubiera constituido la garantía de fiel cumplimiento de contrato.</w:t>
      </w:r>
    </w:p>
    <w:p w:rsidR="00942338" w:rsidRDefault="00942338">
      <w:pPr>
        <w:pStyle w:val="BodyText"/>
        <w:numPr>
          <w:ilvl w:val="0"/>
          <w:numId w:val="2"/>
        </w:numPr>
        <w:tabs>
          <w:tab w:val="left" w:pos="900"/>
        </w:tabs>
      </w:pPr>
      <w:r>
        <w:rPr>
          <w:b/>
          <w:bCs/>
          <w:lang w:val="es-ES_tradnl"/>
        </w:rPr>
        <w:t xml:space="preserve">Artículo 84 del TOCAF. </w:t>
      </w:r>
      <w:r>
        <w:rPr>
          <w:lang w:val="es-ES_tradnl"/>
        </w:rPr>
        <w:t>La Intendencia tiene sus bienes muebles e inmuebles inventariados pero sin valuación.</w:t>
      </w:r>
    </w:p>
    <w:p w:rsidR="00942338" w:rsidRDefault="00942338">
      <w:pPr>
        <w:pStyle w:val="BodyText"/>
        <w:numPr>
          <w:ilvl w:val="0"/>
          <w:numId w:val="2"/>
        </w:numPr>
        <w:tabs>
          <w:tab w:val="left" w:pos="900"/>
        </w:tabs>
      </w:pPr>
      <w:r>
        <w:rPr>
          <w:b/>
          <w:bCs/>
        </w:rPr>
        <w:t xml:space="preserve">Artículo 94 del TOCAF y Ordenanza N° 81 del Tribunal de Cuentas. </w:t>
      </w:r>
      <w:r>
        <w:t>La Intendencia no ha implementado aún la aplicación del sistema contable que le permita cumplir con lo establecido por dichas normas.</w:t>
      </w:r>
    </w:p>
    <w:p w:rsidR="00942338" w:rsidRDefault="00942338">
      <w:pPr>
        <w:pStyle w:val="BodyText"/>
        <w:numPr>
          <w:ilvl w:val="0"/>
          <w:numId w:val="2"/>
        </w:numPr>
        <w:tabs>
          <w:tab w:val="left" w:pos="900"/>
        </w:tabs>
      </w:pPr>
      <w:r>
        <w:rPr>
          <w:b/>
          <w:bCs/>
        </w:rPr>
        <w:t xml:space="preserve">Artículo 111 Numeral 6) del TOCAF. </w:t>
      </w:r>
      <w:r>
        <w:t>La Intendencia no ha implementado adecuadamente el funcionamiento de la Unidad de Auditoría Interna, lo que impide el cumplimiento de dicha norma.</w:t>
      </w:r>
    </w:p>
    <w:p w:rsidR="00942338" w:rsidRDefault="00942338">
      <w:pPr>
        <w:pStyle w:val="BodyText"/>
        <w:numPr>
          <w:ilvl w:val="0"/>
          <w:numId w:val="2"/>
        </w:numPr>
        <w:tabs>
          <w:tab w:val="left" w:pos="900"/>
        </w:tabs>
      </w:pPr>
      <w:r>
        <w:rPr>
          <w:b/>
          <w:bCs/>
        </w:rPr>
        <w:t xml:space="preserve">Artículo 128 Numeral 1) del TOCAF. </w:t>
      </w:r>
      <w:r>
        <w:t>No se incluye</w:t>
      </w:r>
      <w:r>
        <w:rPr>
          <w:b/>
          <w:bCs/>
        </w:rPr>
        <w:t xml:space="preserve"> </w:t>
      </w:r>
      <w:r>
        <w:t>información  respecto al</w:t>
      </w:r>
      <w:r>
        <w:rPr>
          <w:b/>
          <w:bCs/>
        </w:rPr>
        <w:t xml:space="preserve"> </w:t>
      </w:r>
      <w:r>
        <w:t xml:space="preserve">grado de cumplimiento de los objetivos y metas programadas y las alcanzadas, ni del costo resultante.  </w:t>
      </w:r>
    </w:p>
    <w:p w:rsidR="00942338" w:rsidRDefault="00942338">
      <w:pPr>
        <w:pStyle w:val="BodyText"/>
        <w:numPr>
          <w:ilvl w:val="0"/>
          <w:numId w:val="2"/>
        </w:numPr>
        <w:tabs>
          <w:tab w:val="left" w:pos="900"/>
        </w:tabs>
      </w:pPr>
      <w:r>
        <w:rPr>
          <w:b/>
          <w:bCs/>
        </w:rPr>
        <w:t>Artículo 132 del TOCAF.</w:t>
      </w:r>
      <w:r>
        <w:t xml:space="preserve"> Durante el ejercicio 2012 la Intendencia otorgó  anticipos de fondos los que fueron rendidos en un  plazo superior al establecido por la citada norma y se constataron  otras partidas rendidas con gastos devengados con anterioridad a la fecha de pago de dicha partida.</w:t>
      </w:r>
    </w:p>
    <w:p w:rsidR="00942338" w:rsidRDefault="00942338">
      <w:pPr>
        <w:pStyle w:val="BodyText"/>
        <w:numPr>
          <w:ilvl w:val="0"/>
          <w:numId w:val="2"/>
        </w:numPr>
        <w:tabs>
          <w:tab w:val="left" w:pos="900"/>
        </w:tabs>
      </w:pPr>
      <w:r>
        <w:rPr>
          <w:b/>
          <w:bCs/>
        </w:rPr>
        <w:t>Artículo 154 del TOCAF.</w:t>
      </w:r>
      <w:r>
        <w:t xml:space="preserve"> Los funcionarios que manejan fondos y valores no poseen seguro de caución de fidelidad. </w:t>
      </w:r>
    </w:p>
    <w:p w:rsidR="00942338" w:rsidRDefault="00942338">
      <w:pPr>
        <w:pStyle w:val="BodyText"/>
        <w:numPr>
          <w:ilvl w:val="0"/>
          <w:numId w:val="2"/>
        </w:numPr>
        <w:rPr>
          <w:lang w:val="es-MX"/>
        </w:rPr>
      </w:pPr>
      <w:r>
        <w:rPr>
          <w:b/>
          <w:bCs/>
        </w:rPr>
        <w:t>Decreto 440/97 del 12/11/97</w:t>
      </w:r>
      <w:r>
        <w:t>. El descuento de montepío sobre el aguinaldo no se ajusta a la normativa vigente al no estar considerando el tope de aportación como lo dispone la normativa.</w:t>
      </w:r>
    </w:p>
    <w:p w:rsidR="00942338" w:rsidRDefault="00942338">
      <w:pPr>
        <w:pStyle w:val="BodyText"/>
        <w:numPr>
          <w:ilvl w:val="0"/>
          <w:numId w:val="2"/>
        </w:numPr>
        <w:tabs>
          <w:tab w:val="left" w:pos="900"/>
        </w:tabs>
      </w:pPr>
      <w:r>
        <w:rPr>
          <w:b/>
          <w:bCs/>
        </w:rPr>
        <w:t>Convenio N° 30 de la O.I.T.</w:t>
      </w:r>
      <w:r>
        <w:t xml:space="preserve"> Las liquidaciones de horas extras realizadas en el ejercicio 2012, en algunos casos han superado los límites establecidos en dicha norma. </w:t>
      </w:r>
    </w:p>
    <w:p w:rsidR="00942338" w:rsidRDefault="00942338">
      <w:pPr>
        <w:pStyle w:val="BodyText"/>
        <w:numPr>
          <w:ilvl w:val="0"/>
          <w:numId w:val="2"/>
        </w:numPr>
        <w:tabs>
          <w:tab w:val="left" w:pos="900"/>
        </w:tabs>
      </w:pPr>
      <w:r>
        <w:rPr>
          <w:b/>
          <w:bCs/>
        </w:rPr>
        <w:t>Artículo 23 del Presupuesto Quinquenal 2006-2010 y Artículo 7 de la Modificación Presupuestal 2009-2010 de la Intendencia de Rocha.</w:t>
      </w:r>
      <w:r>
        <w:t xml:space="preserve"> Se constató el pago a funcionarios de compensaciones por dedicación a tiempo completo y el pago de horas extras, retribuyéndole así al funcionario por dos vías diferentes el mismo concepto.</w:t>
      </w:r>
    </w:p>
    <w:p w:rsidR="00942338" w:rsidRDefault="00942338">
      <w:pPr>
        <w:pStyle w:val="BodyText"/>
        <w:numPr>
          <w:ilvl w:val="0"/>
          <w:numId w:val="2"/>
        </w:numPr>
      </w:pPr>
      <w:r>
        <w:rPr>
          <w:b/>
          <w:bCs/>
        </w:rPr>
        <w:t>Artículo</w:t>
      </w:r>
      <w:r>
        <w:t xml:space="preserve"> </w:t>
      </w:r>
      <w:r>
        <w:rPr>
          <w:b/>
          <w:bCs/>
        </w:rPr>
        <w:t>12 Estatuto del funcionario.</w:t>
      </w:r>
      <w:r>
        <w:t xml:space="preserve"> Se constató que en algunas designaciones no se aplica la reglamentación  en materia de Contrataciones, realizándose contrataciones directas.</w:t>
      </w:r>
    </w:p>
    <w:p w:rsidR="00942338" w:rsidRDefault="00942338">
      <w:pPr>
        <w:pStyle w:val="BodyText"/>
        <w:numPr>
          <w:ilvl w:val="0"/>
          <w:numId w:val="2"/>
        </w:numPr>
        <w:tabs>
          <w:tab w:val="left" w:pos="900"/>
        </w:tabs>
      </w:pPr>
      <w:r>
        <w:rPr>
          <w:b/>
          <w:bCs/>
        </w:rPr>
        <w:t xml:space="preserve">Resolución del Tribunal de Cuentas de fecha 16/07/03. </w:t>
      </w:r>
      <w:r>
        <w:t>Durante el ejercicio 2012 la Intendencia realizó compensaciones de tributos de terceros con deudas por haberes de sus funcionarios.</w:t>
      </w:r>
    </w:p>
    <w:p w:rsidR="00942338" w:rsidRDefault="00942338">
      <w:pPr>
        <w:pStyle w:val="BodyText"/>
        <w:numPr>
          <w:ilvl w:val="0"/>
          <w:numId w:val="2"/>
        </w:numPr>
        <w:tabs>
          <w:tab w:val="left" w:pos="900"/>
        </w:tabs>
      </w:pPr>
      <w:r>
        <w:rPr>
          <w:b/>
          <w:bCs/>
        </w:rPr>
        <w:t xml:space="preserve"> Resolución del Tribunal de Cuentas de fecha 28/01/04. </w:t>
      </w:r>
      <w:r>
        <w:t>El documento</w:t>
      </w:r>
      <w:r>
        <w:rPr>
          <w:b/>
          <w:bCs/>
        </w:rPr>
        <w:t xml:space="preserve"> </w:t>
      </w:r>
      <w:r>
        <w:t xml:space="preserve">de Rendición de Cuentas presentado no se formuló íntegramente de acuerdo al Instructivo aprobado </w:t>
      </w:r>
      <w:r>
        <w:rPr>
          <w:lang w:val="es-UY"/>
        </w:rPr>
        <w:t xml:space="preserve">por esta norma. </w:t>
      </w:r>
    </w:p>
    <w:p w:rsidR="00942338" w:rsidRDefault="00942338">
      <w:pPr>
        <w:pStyle w:val="BodyText"/>
        <w:numPr>
          <w:ilvl w:val="0"/>
          <w:numId w:val="2"/>
        </w:numPr>
        <w:tabs>
          <w:tab w:val="left" w:pos="900"/>
        </w:tabs>
      </w:pPr>
      <w:r>
        <w:rPr>
          <w:b/>
          <w:bCs/>
        </w:rPr>
        <w:t xml:space="preserve">Resolución del Tribunal de Cuentas de fecha 11/05/05. </w:t>
      </w:r>
      <w:r>
        <w:t xml:space="preserve">La Intendencia no ha comunicado al Tribunal de Cuentas los informes producidos por las comisiones de control o las oficinas de verificación del cumplimiento de los contratos de concesión, de acuerdo a lo que establece el numeral 3ro de la norma citada. </w:t>
      </w:r>
    </w:p>
    <w:p w:rsidR="00942338" w:rsidRDefault="00942338">
      <w:pPr>
        <w:numPr>
          <w:ilvl w:val="0"/>
          <w:numId w:val="2"/>
        </w:numPr>
        <w:spacing w:after="0" w:line="360" w:lineRule="auto"/>
        <w:rPr>
          <w:lang w:eastAsia="ar-SA"/>
        </w:rPr>
      </w:pPr>
      <w:r>
        <w:rPr>
          <w:b/>
          <w:bCs/>
          <w:lang w:eastAsia="ar-SA"/>
        </w:rPr>
        <w:t>Caducidad de Convenios suscritos con deudores de la Intendencia de Rocha por incumplimiento en el pago de las cuotas:</w:t>
      </w:r>
      <w:r>
        <w:rPr>
          <w:lang w:eastAsia="ar-SA"/>
        </w:rPr>
        <w:t xml:space="preserve"> La Intendencia no cumple con los términos de caducidad dispuestos en los Convenios que se realizan con sus deudores. La anulación de los Convenios por incumplimiento no se efectiviza en forma regular ni sistemática.</w:t>
      </w:r>
    </w:p>
    <w:p w:rsidR="00942338" w:rsidRDefault="00942338">
      <w:pPr>
        <w:pStyle w:val="BodyText"/>
      </w:pPr>
      <w:r>
        <w:t>Asimismo durante el ejercicio se observaron gastos, que fueron reiterados oportunamente, por los siguientes motivos: Artículo 211 Literal B) de la Constitución de la República, Artículo 101 Ley 12997, Artículo 71 Ley 18083, Artículo 9 del Decreto 199/07 y Decretos 388/92 y 342/92, Artículos 13, 14, 15 , 33, 36, 37, 40, 63, 64, 74 y 114  del TOCAF, Art. 8 de la Ordenanza del Tribunal de Cuentas Nro. 61 y Resolución del 28/11/96 del Tribunal de Cuentas.</w:t>
      </w:r>
    </w:p>
    <w:p w:rsidR="00942338" w:rsidRDefault="00942338">
      <w:pPr>
        <w:pStyle w:val="BodyText"/>
        <w:tabs>
          <w:tab w:val="left" w:pos="900"/>
        </w:tabs>
        <w:jc w:val="right"/>
      </w:pPr>
      <w:r>
        <w:t xml:space="preserve"> Montevideo, 03 de diciembre de 2013</w:t>
      </w:r>
    </w:p>
    <w:p w:rsidR="00942338" w:rsidRDefault="00942338">
      <w:pPr>
        <w:pStyle w:val="List"/>
        <w:rPr>
          <w:rFonts w:ascii="Times New Roman" w:hAnsi="Times New Roman" w:cs="Times New Roman"/>
        </w:rPr>
      </w:pPr>
    </w:p>
    <w:p w:rsidR="00942338" w:rsidRDefault="00942338">
      <w:pPr>
        <w:pStyle w:val="List"/>
        <w:rPr>
          <w:rFonts w:ascii="Times New Roman" w:hAnsi="Times New Roman" w:cs="Times New Roman"/>
        </w:rPr>
      </w:pPr>
    </w:p>
    <w:p w:rsidR="00942338" w:rsidRDefault="00942338">
      <w:pPr>
        <w:pStyle w:val="Heading2"/>
        <w:jc w:val="center"/>
      </w:pPr>
      <w:bookmarkStart w:id="2" w:name="_Toc275353493"/>
      <w:bookmarkStart w:id="3" w:name="_Toc373758915"/>
      <w:r>
        <w:t>INFORME A LA ADMINISTRACIÓN</w:t>
      </w:r>
      <w:bookmarkEnd w:id="2"/>
      <w:bookmarkEnd w:id="3"/>
    </w:p>
    <w:p w:rsidR="00942338" w:rsidRDefault="00942338"/>
    <w:p w:rsidR="00942338" w:rsidRDefault="00942338">
      <w:pPr>
        <w:pStyle w:val="BodyText"/>
      </w:pPr>
      <w:r>
        <w:t>El Tribunal de Cuentas ha examinado la Rendición de Cuentas y Balance de Ejecución Presupuestal correspondiente al Ejercicio 2012 y ha emitido su correspondiente dictamen.</w:t>
      </w:r>
    </w:p>
    <w:p w:rsidR="00942338" w:rsidRDefault="00942338">
      <w:pPr>
        <w:spacing w:line="360" w:lineRule="auto"/>
      </w:pPr>
      <w: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942338" w:rsidRDefault="00942338">
      <w:pPr>
        <w:pStyle w:val="Heading2"/>
      </w:pPr>
      <w:bookmarkStart w:id="4" w:name="_Toc275353494"/>
      <w:bookmarkStart w:id="5" w:name="_Toc373758916"/>
      <w:r>
        <w:t>3.1. Hechos que motivan la opinión adversa</w:t>
      </w:r>
      <w:bookmarkEnd w:id="4"/>
      <w:bookmarkEnd w:id="5"/>
    </w:p>
    <w:p w:rsidR="00942338" w:rsidRDefault="00942338">
      <w:pPr>
        <w:spacing w:line="360" w:lineRule="auto"/>
        <w:rPr>
          <w:lang w:val="es-MX"/>
        </w:rPr>
      </w:pPr>
      <w:r>
        <w:rPr>
          <w:lang w:val="es-MX"/>
        </w:rPr>
        <w:t>En el ejercicio 2012 la Intendencia realizó ajustes extracontables a los efectos de la presentación de esta Rendición de Cuentas. Asimismo, confeccionó los Estados sin haber culminado con las registraciones contables del ejercicio 2012, no siendo por ende el documento presentado el reflejo de los saldos al cierre. A su vez continúa con las tareas de  implementación y ajustes del sistema contable instalado en el ejercicio anterior. Por éste, entre otros motivos, se presentaron inconsistencias en algunos listados.</w:t>
      </w:r>
    </w:p>
    <w:p w:rsidR="00942338" w:rsidRDefault="00942338">
      <w:pPr>
        <w:spacing w:line="360" w:lineRule="auto"/>
        <w:rPr>
          <w:lang w:val="es-MX"/>
        </w:rPr>
      </w:pPr>
      <w:r>
        <w:rPr>
          <w:lang w:val="es-MX"/>
        </w:rPr>
        <w:t xml:space="preserve"> Los hechos que motivan la opinión adversa son, en particular, los siguientes: </w:t>
      </w:r>
    </w:p>
    <w:p w:rsidR="00942338" w:rsidRDefault="00942338">
      <w:pPr>
        <w:pStyle w:val="Heading2"/>
      </w:pPr>
      <w:bookmarkStart w:id="6" w:name="_Toc373758917"/>
      <w:bookmarkStart w:id="7" w:name="_Toc275353495"/>
      <w:r>
        <w:t>3.1.1Diferencias en las cuentas de Caja y Banco entre los registros contables y los saldos incluidos en la Rendición de Cuentas.</w:t>
      </w:r>
      <w:bookmarkEnd w:id="6"/>
    </w:p>
    <w:p w:rsidR="00942338" w:rsidRDefault="00942338">
      <w:pPr>
        <w:spacing w:line="360" w:lineRule="auto"/>
      </w:pPr>
      <w:r>
        <w:t xml:space="preserve"> El saldo de la cuenta caja asciende según el documento de Rendición a          $ 15:061.333, mientras que de acuerdo al sistema contable es de $ 16:651.514. </w:t>
      </w:r>
      <w:r>
        <w:rPr>
          <w:spacing w:val="10"/>
        </w:rPr>
        <w:t xml:space="preserve">Además el saldo de las cuentas bancarias incluido en la Rendición es de </w:t>
      </w:r>
      <w:r>
        <w:rPr>
          <w:spacing w:val="22"/>
        </w:rPr>
        <w:t>$ 163:578.038, mientras que según el sistema contable asciende a $</w:t>
      </w:r>
      <w:r>
        <w:t xml:space="preserve"> 141:858.521. </w:t>
      </w:r>
    </w:p>
    <w:p w:rsidR="00942338" w:rsidRDefault="00942338">
      <w:pPr>
        <w:spacing w:line="360" w:lineRule="auto"/>
        <w:rPr>
          <w:lang w:val="es-MX"/>
        </w:rPr>
      </w:pPr>
      <w:r>
        <w:t>Se solicitó información a la Intendencia de las diferencias constatadas no habiéndose recibido el detalle de las mismas.</w:t>
      </w:r>
    </w:p>
    <w:p w:rsidR="00942338" w:rsidRDefault="00942338">
      <w:pPr>
        <w:pStyle w:val="Heading2"/>
      </w:pPr>
      <w:bookmarkStart w:id="8" w:name="_Toc373758918"/>
      <w:r>
        <w:t>3.1.2 Diferencias en los cuadros de “Ejecución Presupuestal con relación a los créditos”</w:t>
      </w:r>
      <w:bookmarkEnd w:id="7"/>
      <w:r>
        <w:t xml:space="preserve"> y “Ejecución Extra Presupuestal”</w:t>
      </w:r>
      <w:bookmarkEnd w:id="8"/>
    </w:p>
    <w:p w:rsidR="00942338" w:rsidRDefault="00942338">
      <w:pPr>
        <w:pStyle w:val="BodyText"/>
      </w:pPr>
      <w:r>
        <w:t xml:space="preserve">El total de gastos pagos de la ejecución presupuestal y extra presupuestal en el </w:t>
      </w:r>
      <w:r>
        <w:rPr>
          <w:spacing w:val="-6"/>
        </w:rPr>
        <w:t>ejercicio 2012, de acuerdo al documento presentado, asciende a $</w:t>
      </w:r>
      <w:r>
        <w:t xml:space="preserve"> 952:153.866, en tanto que de acuerdo al sistema contable dicho total es de $ 943:575.012</w:t>
      </w:r>
    </w:p>
    <w:p w:rsidR="00942338" w:rsidRDefault="00942338">
      <w:pPr>
        <w:pStyle w:val="Heading2"/>
      </w:pPr>
      <w:bookmarkStart w:id="9" w:name="_Toc373758919"/>
      <w:r>
        <w:t>3.1.3 Diferencias en los saldos contables de Obligaciones Presupuestales Impagas e Indisponibles y los presentados en el documento de Rendición de Cuentas.</w:t>
      </w:r>
      <w:bookmarkEnd w:id="9"/>
    </w:p>
    <w:p w:rsidR="00942338" w:rsidRDefault="00942338">
      <w:pPr>
        <w:pStyle w:val="BodyText"/>
        <w:rPr>
          <w:lang w:val="es-MX"/>
        </w:rPr>
      </w:pPr>
      <w:r>
        <w:rPr>
          <w:lang w:val="es-MX"/>
        </w:rPr>
        <w:t xml:space="preserve">El saldo de las obligaciones presupuestales y extra presupuestales impagas </w:t>
      </w:r>
      <w:r>
        <w:rPr>
          <w:spacing w:val="16"/>
          <w:lang w:val="es-MX"/>
        </w:rPr>
        <w:t xml:space="preserve">expuesto en la Rendición de Cuentas asciende según el documento a </w:t>
      </w:r>
      <w:r>
        <w:rPr>
          <w:spacing w:val="8"/>
          <w:lang w:val="es-MX"/>
        </w:rPr>
        <w:t>$ 109:692.263. En el sistema contable el saldo de dichas cuentas asciende a $</w:t>
      </w:r>
      <w:r>
        <w:rPr>
          <w:lang w:val="es-MX"/>
        </w:rPr>
        <w:t xml:space="preserve">  66:934.829, resultando una diferencia neta de $ 42:757.435. Algunas de las diferencias encontradas son las siguientes:</w:t>
      </w:r>
    </w:p>
    <w:p w:rsidR="00942338" w:rsidRDefault="00942338">
      <w:pPr>
        <w:pStyle w:val="BodyText"/>
        <w:rPr>
          <w:lang w:val="es-MX"/>
        </w:rPr>
      </w:pPr>
    </w:p>
    <w:tbl>
      <w:tblPr>
        <w:tblW w:w="8180" w:type="dxa"/>
        <w:tblInd w:w="-13" w:type="dxa"/>
        <w:tblCellMar>
          <w:left w:w="0" w:type="dxa"/>
          <w:right w:w="0" w:type="dxa"/>
        </w:tblCellMar>
        <w:tblLook w:val="0000"/>
      </w:tblPr>
      <w:tblGrid>
        <w:gridCol w:w="1200"/>
        <w:gridCol w:w="3380"/>
        <w:gridCol w:w="1200"/>
        <w:gridCol w:w="1200"/>
        <w:gridCol w:w="1200"/>
      </w:tblGrid>
      <w:tr w:rsidR="00942338">
        <w:trPr>
          <w:trHeight w:val="630"/>
        </w:trPr>
        <w:tc>
          <w:tcPr>
            <w:tcW w:w="12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Número</w:t>
            </w:r>
          </w:p>
        </w:tc>
        <w:tc>
          <w:tcPr>
            <w:tcW w:w="33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Concepto</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Saldo S/ Rendición de Cuentas</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Saldo S/Sist. Contable (módulo financiero)</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Diferencia</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CESMAR LTDA.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217,053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150,356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66,698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BANCO PREVISION SOCIAL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8,545,706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10,745,636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 -2,199,930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ISMAEL PRIETO PIRIZ</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571,838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555,881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15,957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3491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BARRIOS FERNANDEZ ARTIGAS 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17,769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 -17,769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3499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PEDRAJA LILIANA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24,091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45,281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 -21,190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3712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ALTIER MAGELA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7,645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 -7,645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3736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DELPIANO ASCENCIO HECTOR MIG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rPr>
              <w:t> </w:t>
            </w:r>
            <w:r>
              <w:rPr>
                <w:rFonts w:ascii="Tahoma" w:hAnsi="Tahoma" w:cs="Tahoma"/>
                <w:sz w:val="16"/>
                <w:szCs w:val="16"/>
                <w:lang w:val="en-US"/>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xml:space="preserve">45,140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xml:space="preserve"> -45,140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4057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lang w:val="en-US"/>
              </w:rPr>
            </w:pPr>
            <w:r>
              <w:rPr>
                <w:rFonts w:ascii="Tahoma" w:hAnsi="Tahoma" w:cs="Tahoma"/>
                <w:sz w:val="16"/>
                <w:szCs w:val="16"/>
                <w:lang w:val="en-US"/>
              </w:rPr>
              <w:t>ANCAP PORTLAND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xml:space="preserve"> -1,972,854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xml:space="preserve">1,972,854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4244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lang w:val="en-US"/>
              </w:rPr>
            </w:pPr>
            <w:r>
              <w:rPr>
                <w:rFonts w:ascii="Tahoma" w:hAnsi="Tahoma" w:cs="Tahoma"/>
                <w:sz w:val="16"/>
                <w:szCs w:val="16"/>
                <w:lang w:val="en-US"/>
              </w:rPr>
              <w:t>AYALA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93,829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137,444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 -43,615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4443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O.N.G. ADESAR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rPr>
              <w:t> </w:t>
            </w:r>
            <w:r>
              <w:rPr>
                <w:rFonts w:ascii="Tahoma" w:hAnsi="Tahoma" w:cs="Tahoma"/>
                <w:sz w:val="16"/>
                <w:szCs w:val="16"/>
                <w:lang w:val="en-US"/>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xml:space="preserve"> -333,939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 xml:space="preserve">333,939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4444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lang w:val="en-US"/>
              </w:rPr>
            </w:pPr>
            <w:r>
              <w:rPr>
                <w:rFonts w:ascii="Tahoma" w:hAnsi="Tahoma" w:cs="Tahoma"/>
                <w:sz w:val="16"/>
                <w:szCs w:val="16"/>
                <w:lang w:val="en-US"/>
              </w:rPr>
              <w:t>IMPORT TRADING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2,706,047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1,456,004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1,250,043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9999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SUELDOS A PAGAR  (líquido)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46,545,909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5,112,985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 xml:space="preserve">41,432,924 </w:t>
            </w:r>
          </w:p>
        </w:tc>
      </w:tr>
    </w:tbl>
    <w:p w:rsidR="00942338" w:rsidRDefault="00942338">
      <w:pPr>
        <w:pStyle w:val="BodyText"/>
        <w:rPr>
          <w:lang w:val="es-MX"/>
        </w:rPr>
      </w:pPr>
    </w:p>
    <w:p w:rsidR="00942338" w:rsidRDefault="00942338">
      <w:pPr>
        <w:pStyle w:val="BodyText"/>
        <w:rPr>
          <w:lang w:val="es-MX"/>
        </w:rPr>
      </w:pPr>
      <w:r>
        <w:rPr>
          <w:lang w:val="es-MX"/>
        </w:rPr>
        <w:t>Dichas diferencias se deben, entre otros motivos, a que el listado del sistema contable presenta inconsistencias en el saldo de algunos proveedores. Los saldos deudores en dólares no se cotizaron al tipo de cambio de cierre y en el sistema contable se presentan funcionarios de la Intendencia con saldos deudores, los que, no fueron expuestos en el documento de Rendición de Cuentas.</w:t>
      </w:r>
    </w:p>
    <w:p w:rsidR="00942338" w:rsidRDefault="00942338">
      <w:pPr>
        <w:pStyle w:val="BodyText"/>
        <w:rPr>
          <w:lang w:val="es-MX"/>
        </w:rPr>
      </w:pPr>
      <w:r>
        <w:rPr>
          <w:lang w:val="es-MX"/>
        </w:rPr>
        <w:t>La  diferencia en la cuenta N° 9999 “Sueldos a Pagar” se debe a que el saldo incluido en la Rendición de Cuentas resulta de una estimación contable de los haberes impagos. La Intendencia no ha establecido los procedimientos contables para que exista un registro que refleje el saldo de la obligación por haberes impagos a una determinada fecha.</w:t>
      </w:r>
    </w:p>
    <w:p w:rsidR="00942338" w:rsidRDefault="00942338">
      <w:pPr>
        <w:spacing w:line="360" w:lineRule="auto"/>
      </w:pPr>
      <w:r>
        <w:t>Además el  saldo de los fondos indisponibles  que se incluye en el documento de Rendición asciende a $ 40:324.911, mientras que el saldo del sistema contable es de $ 56:770.127, resultando una diferencia neta de $ 16:445.216, la que se detalla en el siguiente cuadro:</w:t>
      </w:r>
    </w:p>
    <w:tbl>
      <w:tblPr>
        <w:tblW w:w="9340" w:type="dxa"/>
        <w:tblInd w:w="-13" w:type="dxa"/>
        <w:tblCellMar>
          <w:left w:w="0" w:type="dxa"/>
          <w:right w:w="0" w:type="dxa"/>
        </w:tblCellMar>
        <w:tblLook w:val="0000"/>
      </w:tblPr>
      <w:tblGrid>
        <w:gridCol w:w="1060"/>
        <w:gridCol w:w="1860"/>
        <w:gridCol w:w="2260"/>
        <w:gridCol w:w="2080"/>
        <w:gridCol w:w="2080"/>
      </w:tblGrid>
      <w:tr w:rsidR="00942338">
        <w:trPr>
          <w:trHeight w:val="420"/>
        </w:trPr>
        <w:tc>
          <w:tcPr>
            <w:tcW w:w="1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Número</w:t>
            </w:r>
          </w:p>
        </w:tc>
        <w:tc>
          <w:tcPr>
            <w:tcW w:w="18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Concepto</w:t>
            </w:r>
          </w:p>
        </w:tc>
        <w:tc>
          <w:tcPr>
            <w:tcW w:w="22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Saldo S/ Rendición de Cuentas</w:t>
            </w:r>
          </w:p>
        </w:tc>
        <w:tc>
          <w:tcPr>
            <w:tcW w:w="2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Saldo Sist. Contable</w:t>
            </w:r>
          </w:p>
        </w:tc>
        <w:tc>
          <w:tcPr>
            <w:tcW w:w="2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ascii="Tahoma" w:eastAsia="Arial Unicode MS" w:hAnsi="Tahoma"/>
                <w:b/>
                <w:bCs/>
                <w:sz w:val="16"/>
                <w:szCs w:val="16"/>
              </w:rPr>
            </w:pPr>
            <w:r>
              <w:rPr>
                <w:rFonts w:ascii="Tahoma" w:hAnsi="Tahoma" w:cs="Tahoma"/>
                <w:b/>
                <w:bCs/>
                <w:sz w:val="16"/>
                <w:szCs w:val="16"/>
              </w:rPr>
              <w:t>Diferencia</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BPS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9,119,889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16,477,537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-7,357,648</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583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CGN (Alquileres)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277,314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697,717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-420,403</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10005-161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Garantía por Licitación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5,301,496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13,917,740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-8,616,244</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20/531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lang w:val="en-US"/>
              </w:rPr>
            </w:pPr>
            <w:r>
              <w:rPr>
                <w:rFonts w:ascii="Tahoma" w:hAnsi="Tahoma" w:cs="Tahoma"/>
                <w:sz w:val="16"/>
                <w:szCs w:val="16"/>
                <w:lang w:val="en-US"/>
              </w:rPr>
              <w:t>INAC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60,643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29,393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31,250</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lang w:val="en-US"/>
              </w:rPr>
            </w:pPr>
            <w:r>
              <w:rPr>
                <w:rFonts w:ascii="Tahoma" w:hAnsi="Tahoma" w:cs="Tahoma"/>
                <w:sz w:val="16"/>
                <w:szCs w:val="16"/>
                <w:lang w:val="en-US"/>
              </w:rPr>
              <w:t>4128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lang w:val="en-US"/>
              </w:rPr>
              <w:t xml:space="preserve">IRPF Arr. </w:t>
            </w:r>
            <w:r>
              <w:rPr>
                <w:rFonts w:ascii="Tahoma" w:hAnsi="Tahoma" w:cs="Tahoma"/>
                <w:sz w:val="16"/>
                <w:szCs w:val="16"/>
                <w:lang w:val="es-MX"/>
              </w:rPr>
              <w:t>Inmuebles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51,570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144,079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-92,509</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Devolucion de Tributos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4,392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-4,392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8,784</w:t>
            </w:r>
          </w:p>
        </w:tc>
      </w:tr>
      <w:tr w:rsidR="0094233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4513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 xml:space="preserve">Descuento Barometrica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777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-777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1,554</w:t>
            </w:r>
          </w:p>
        </w:tc>
      </w:tr>
      <w:tr w:rsidR="00942338">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42338" w:rsidRDefault="00942338">
            <w:pP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42338" w:rsidRDefault="00942338">
            <w:pP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42338" w:rsidRDefault="00942338">
            <w:pP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42338" w:rsidRDefault="00942338">
            <w:pPr>
              <w:rPr>
                <w:rFonts w:ascii="Tahoma" w:eastAsia="Arial Unicode MS" w:hAnsi="Tahoma"/>
                <w:sz w:val="16"/>
                <w:szCs w:val="16"/>
              </w:rPr>
            </w:pPr>
            <w:r>
              <w:rPr>
                <w:rFonts w:ascii="Tahoma" w:hAnsi="Tahoma" w:cs="Tahoma"/>
                <w:sz w:val="16"/>
                <w:szCs w:val="16"/>
              </w:rPr>
              <w:t>Total</w:t>
            </w:r>
          </w:p>
        </w:tc>
        <w:tc>
          <w:tcPr>
            <w:tcW w:w="0" w:type="auto"/>
            <w:tcBorders>
              <w:top w:val="nil"/>
              <w:left w:val="nil"/>
              <w:bottom w:val="nil"/>
              <w:right w:val="nil"/>
            </w:tcBorders>
            <w:noWrap/>
            <w:tcMar>
              <w:top w:w="15" w:type="dxa"/>
              <w:left w:w="15" w:type="dxa"/>
              <w:bottom w:w="0" w:type="dxa"/>
              <w:right w:w="15" w:type="dxa"/>
            </w:tcMar>
            <w:vAlign w:val="bottom"/>
          </w:tcPr>
          <w:p w:rsidR="00942338" w:rsidRDefault="00942338">
            <w:pPr>
              <w:jc w:val="right"/>
              <w:rPr>
                <w:rFonts w:ascii="Tahoma" w:eastAsia="Arial Unicode MS" w:hAnsi="Tahoma"/>
                <w:sz w:val="16"/>
                <w:szCs w:val="16"/>
              </w:rPr>
            </w:pPr>
            <w:r>
              <w:rPr>
                <w:rFonts w:ascii="Tahoma" w:hAnsi="Tahoma" w:cs="Tahoma"/>
                <w:sz w:val="16"/>
                <w:szCs w:val="16"/>
              </w:rPr>
              <w:t>-16,445,216</w:t>
            </w:r>
          </w:p>
        </w:tc>
      </w:tr>
    </w:tbl>
    <w:p w:rsidR="00942338" w:rsidRDefault="00942338">
      <w:pPr>
        <w:pStyle w:val="BodyText"/>
      </w:pPr>
    </w:p>
    <w:p w:rsidR="00942338" w:rsidRDefault="00942338">
      <w:pPr>
        <w:pStyle w:val="Heading2"/>
      </w:pPr>
      <w:bookmarkStart w:id="10" w:name="_Toc242783582"/>
      <w:bookmarkStart w:id="11" w:name="_Toc275353496"/>
      <w:bookmarkStart w:id="12" w:name="_Toc373758920"/>
      <w:r>
        <w:t>3.1.4 Fondos de terceros considerados como  Recursos del ejercicio y Recaudaciones efectuadas con Documentos a Cobrar</w:t>
      </w:r>
      <w:bookmarkEnd w:id="10"/>
      <w:bookmarkEnd w:id="11"/>
      <w:bookmarkEnd w:id="12"/>
    </w:p>
    <w:p w:rsidR="00942338" w:rsidRDefault="00942338">
      <w:pPr>
        <w:pStyle w:val="BodyText"/>
      </w:pPr>
      <w:r>
        <w:t>En el Estado de Ejecución Presupuestal con relación a los Recursos se expusieron fondos de terceros como recursos recaudados en el ejercicio 2012, por concepto de garantías de licitación por un monto de $ 1:545.027, IVA retenido $ 7:622.495, INAC $ 515.872 y Retención Ley  N° 15809 $ 875.311,  totalizando la suma de $ 10:558.705.</w:t>
      </w:r>
    </w:p>
    <w:p w:rsidR="00942338" w:rsidRDefault="00942338">
      <w:pPr>
        <w:pStyle w:val="BodyText"/>
      </w:pPr>
      <w:r>
        <w:t>Además, se omitió  dar de baja de la recaudación del ejercicio la suma de $ 3:486.226 (valor tomado de los fondos arqueados a fecha de cierre de ejercicio) correspondiente a las cobranzas efectuadas mediante cheques diferidos y tarjetas de crédito con vencimiento posterior al 31/12/12.</w:t>
      </w:r>
    </w:p>
    <w:p w:rsidR="00942338" w:rsidRDefault="00942338">
      <w:pPr>
        <w:pStyle w:val="Heading2"/>
      </w:pPr>
      <w:bookmarkStart w:id="13" w:name="_Toc275353498"/>
      <w:bookmarkStart w:id="14" w:name="_Toc373758921"/>
      <w:r>
        <w:t>3.1.5 Diferencias de cambio</w:t>
      </w:r>
      <w:bookmarkEnd w:id="13"/>
      <w:bookmarkEnd w:id="14"/>
      <w:r>
        <w:tab/>
      </w:r>
      <w:r>
        <w:tab/>
      </w:r>
    </w:p>
    <w:p w:rsidR="00942338" w:rsidRDefault="00942338">
      <w:pPr>
        <w:pStyle w:val="BodyText"/>
      </w:pPr>
      <w:r>
        <w:t>La Intendencia no registró contablemente ni expone como gasto del ejercicio las diferencias de cambio generadas por las deudas convenidas con sus acreedores en Dólares, Unidades Indexadas y Unidades Reajustables. El monto total de diferencias de cambio según el Estado de Evolución de Convenios asciende a $ 11:243.606.</w:t>
      </w:r>
    </w:p>
    <w:p w:rsidR="00942338" w:rsidRDefault="00942338">
      <w:pPr>
        <w:spacing w:line="360" w:lineRule="auto"/>
        <w:rPr>
          <w:lang w:val="es-MX"/>
        </w:rPr>
      </w:pPr>
      <w:r>
        <w:rPr>
          <w:lang w:val="es-MX"/>
        </w:rPr>
        <w:t>Dentro del Estado de Obligaciones Presupuestales Impagas se incluyeron deudas con proveedores por U$S 201.287, las cuales no están valuadas al tipo de cambio de cierre.</w:t>
      </w:r>
    </w:p>
    <w:p w:rsidR="00942338" w:rsidRDefault="00942338">
      <w:pPr>
        <w:pStyle w:val="Heading2"/>
        <w:spacing w:before="0" w:after="0"/>
      </w:pPr>
      <w:bookmarkStart w:id="15" w:name="_Toc373758922"/>
      <w:r>
        <w:t>3.1.6 Juicios contra la Intendencia</w:t>
      </w:r>
      <w:bookmarkEnd w:id="15"/>
      <w:r>
        <w:t xml:space="preserve"> </w:t>
      </w:r>
    </w:p>
    <w:p w:rsidR="00942338" w:rsidRDefault="00942338">
      <w:pPr>
        <w:spacing w:line="360" w:lineRule="auto"/>
      </w:pPr>
      <w:r>
        <w:t xml:space="preserve">En el documento se presenta un cuadro respecto a “Acreedores por Juicio”,  en </w:t>
      </w:r>
      <w:r>
        <w:rPr>
          <w:spacing w:val="-14"/>
        </w:rPr>
        <w:t>el cual se incluyen deudas por juicios de $</w:t>
      </w:r>
      <w:r>
        <w:t xml:space="preserve"> 31:855.966. En el sistema contable no se efectuaron registraciones por un importe de $ 18:817.185, el cual no se tuvo en cuenta para el cálculo del resultado acumulado al 31/12/12.</w:t>
      </w:r>
    </w:p>
    <w:p w:rsidR="00942338" w:rsidRDefault="00942338">
      <w:pPr>
        <w:pStyle w:val="Heading2"/>
      </w:pPr>
      <w:bookmarkStart w:id="16" w:name="_Toc242783583"/>
      <w:bookmarkStart w:id="17" w:name="_Toc275353502"/>
      <w:bookmarkStart w:id="18" w:name="_Toc373758923"/>
      <w:bookmarkStart w:id="19" w:name="_Toc182737718"/>
      <w:r>
        <w:t>3.1.7  Diferencias en el importe adeudado al B.R.O.U</w:t>
      </w:r>
      <w:bookmarkEnd w:id="16"/>
      <w:bookmarkEnd w:id="17"/>
      <w:r>
        <w:t>.</w:t>
      </w:r>
      <w:bookmarkEnd w:id="18"/>
    </w:p>
    <w:p w:rsidR="00942338" w:rsidRDefault="00942338">
      <w:pPr>
        <w:spacing w:line="360" w:lineRule="auto"/>
      </w:pPr>
      <w:r>
        <w:t>En el</w:t>
      </w:r>
      <w:r>
        <w:rPr>
          <w:spacing w:val="12"/>
        </w:rPr>
        <w:t xml:space="preserve"> Convenio de Pago firmado entre la Intendencia y el BROU el 05/09/11</w:t>
      </w:r>
      <w:r>
        <w:t>,</w:t>
      </w:r>
      <w:r>
        <w:rPr>
          <w:spacing w:val="12"/>
        </w:rPr>
        <w:t xml:space="preserve"> por deudas en División  Crédito Social y División Empresas, </w:t>
      </w:r>
      <w:r>
        <w:t>se incluye una deuda de U$S 2:479.077,  originada por el financiamiento de las obras de desecación de la Laguna Negra y bañados del Departamento de Rocha. Esta deuda fue incorporada con la salvedad de ser condonada en carácter de quita excepcional en la medida que se de cumplimiento estricto al cronograma de pagos durante los cuatro primeros años del mismo. La Intendencia no registró contablemente ni expuso en el documento de Rendición el saldo deudor correspondiente al 31/12/12.</w:t>
      </w:r>
    </w:p>
    <w:p w:rsidR="00942338" w:rsidRDefault="00942338">
      <w:pPr>
        <w:pStyle w:val="Heading2"/>
      </w:pPr>
      <w:bookmarkStart w:id="20" w:name="_Toc373758924"/>
      <w:bookmarkStart w:id="21" w:name="_Toc242783586"/>
      <w:bookmarkStart w:id="22" w:name="_Toc275353505"/>
      <w:bookmarkEnd w:id="19"/>
      <w:r>
        <w:t>3.1.8 Diferencias en el importe adeudado a COMERO</w:t>
      </w:r>
      <w:bookmarkEnd w:id="20"/>
    </w:p>
    <w:bookmarkEnd w:id="21"/>
    <w:bookmarkEnd w:id="22"/>
    <w:p w:rsidR="00942338" w:rsidRDefault="00942338">
      <w:pPr>
        <w:pStyle w:val="BodyText"/>
        <w:tabs>
          <w:tab w:val="left" w:pos="360"/>
        </w:tabs>
      </w:pPr>
      <w:r>
        <w:t>Con relación a la  deuda con la Cooperativa Médica de Rocha (CO.ME.RO), en la Rendición de Cuentas no se informa sobre la existencia de deuda  por concepto de intereses en cuenta corriente. No obstante, según la cláusula quinta del convenio de pago vigente a la fecha, firmado el 16/09/08, CO.ME.RO se comprometía a la condonación de U$S 1:107.730 por concepto de intereses devengados en el período 30/06/05-30/09/07 si la Intendencia realizaba los pagos en tiempo y forma, por lo que recaen una vez realizados los pagos se verificaría el descuento convenido, pero a la fecha de cierre del ejercicio el pasivo existe.</w:t>
      </w:r>
    </w:p>
    <w:p w:rsidR="00942338" w:rsidRDefault="00942338">
      <w:pPr>
        <w:pStyle w:val="Heading2"/>
        <w:spacing w:before="0" w:after="0"/>
      </w:pPr>
      <w:bookmarkStart w:id="23" w:name="_Toc373758925"/>
      <w:bookmarkStart w:id="24" w:name="_Toc242783587"/>
      <w:bookmarkStart w:id="25" w:name="_Toc275353499"/>
      <w:r>
        <w:t>3.1.9 Estado de “Evolución de Convenios”</w:t>
      </w:r>
      <w:bookmarkEnd w:id="23"/>
    </w:p>
    <w:p w:rsidR="00942338" w:rsidRDefault="00942338">
      <w:pPr>
        <w:spacing w:after="0" w:line="360" w:lineRule="auto"/>
      </w:pPr>
      <w:r>
        <w:t>El saldo al 31/12/2012 de la deuda convenida con el Ministerio de Economía y Finanzas es menor al monto informado en el documento de Rendición de Cuentas en  221.281 Unidades Indexadas. Dicho monto corresponde a un pago realizado en el ejercicio 2013.</w:t>
      </w:r>
    </w:p>
    <w:p w:rsidR="00942338" w:rsidRDefault="00942338">
      <w:pPr>
        <w:spacing w:after="0" w:line="360" w:lineRule="auto"/>
        <w:rPr>
          <w:lang w:val="es-MX"/>
        </w:rPr>
      </w:pPr>
      <w:r>
        <w:rPr>
          <w:lang w:val="es-MX"/>
        </w:rPr>
        <w:t>La diferencia de cambio expuesta en el Estado de “Evolución de Convenios” presenta errores en el cálculo de la misma. En el convenio firmado con el MEF en Unidades Indexadas se constató una diferencia en menos de $ 5:291,981. A su  vez, en el convenio firmado con Comero en Dólares se constató una diferencia en más de $ 4.515, resultando una diferencia neta de $ 5:287.466  inferior al expuesto en el documento de Rendición de Cuentas.</w:t>
      </w:r>
    </w:p>
    <w:p w:rsidR="00942338" w:rsidRDefault="00942338">
      <w:pPr>
        <w:pStyle w:val="Heading2"/>
        <w:spacing w:before="0" w:after="0"/>
      </w:pPr>
      <w:bookmarkStart w:id="26" w:name="_Toc275353497"/>
      <w:bookmarkStart w:id="27" w:name="_Toc373758926"/>
      <w:bookmarkEnd w:id="24"/>
      <w:bookmarkEnd w:id="25"/>
      <w:r>
        <w:t>3.1.10 Movimiento de Fondos y Valores</w:t>
      </w:r>
      <w:bookmarkEnd w:id="26"/>
      <w:bookmarkEnd w:id="27"/>
    </w:p>
    <w:p w:rsidR="00942338" w:rsidRDefault="00942338">
      <w:pPr>
        <w:spacing w:after="0" w:line="360" w:lineRule="auto"/>
      </w:pPr>
      <w:r>
        <w:rPr>
          <w:lang w:val="es-MX"/>
        </w:rPr>
        <w:t>El</w:t>
      </w:r>
      <w:r>
        <w:t xml:space="preserve"> Estado de Movimiento de Fondos y Valores incluye en los ingresos un ajuste extracontable en menos de $ 2:506.647 correspondiente a: cobranzas efectuadas con tarjetas de crédito y cheques diferidos con vencimiento posterior al 31/12/12. Dicho monto no fue ajustado en la composición final del saldo de caja y banco.</w:t>
      </w:r>
    </w:p>
    <w:p w:rsidR="00942338" w:rsidRDefault="00942338">
      <w:pPr>
        <w:pStyle w:val="Heading2"/>
        <w:spacing w:before="0" w:after="0"/>
      </w:pPr>
      <w:bookmarkStart w:id="28" w:name="_Toc275353500"/>
      <w:bookmarkStart w:id="29" w:name="_Toc373758927"/>
      <w:r>
        <w:t>3.1.11 Estado Nº 11 Determinación del Resultado Acumulado al 31/12/</w:t>
      </w:r>
      <w:bookmarkEnd w:id="28"/>
      <w:r>
        <w:t>12</w:t>
      </w:r>
      <w:bookmarkEnd w:id="29"/>
    </w:p>
    <w:p w:rsidR="00942338" w:rsidRDefault="00942338">
      <w:pPr>
        <w:pStyle w:val="BodyText"/>
        <w:rPr>
          <w:lang w:val="es-MX"/>
        </w:rPr>
      </w:pPr>
      <w:r>
        <w:rPr>
          <w:lang w:val="es-MX"/>
        </w:rPr>
        <w:t>El resultado acumulado del ejercicio 2012 difiere en $ 54:766.805 de la suma del resultado acumulado del ejercicio 2011 más el resultado del ejercicio 2012, presentándose así  inconsistencias entre los estados, a saber:</w:t>
      </w:r>
    </w:p>
    <w:tbl>
      <w:tblPr>
        <w:tblW w:w="3980" w:type="dxa"/>
        <w:tblInd w:w="-18" w:type="dxa"/>
        <w:tblCellMar>
          <w:left w:w="0" w:type="dxa"/>
          <w:right w:w="0" w:type="dxa"/>
        </w:tblCellMar>
        <w:tblLook w:val="0000"/>
      </w:tblPr>
      <w:tblGrid>
        <w:gridCol w:w="2740"/>
        <w:gridCol w:w="1240"/>
      </w:tblGrid>
      <w:tr w:rsidR="00942338">
        <w:trPr>
          <w:trHeight w:val="255"/>
        </w:trPr>
        <w:tc>
          <w:tcPr>
            <w:tcW w:w="2740" w:type="dxa"/>
            <w:tcBorders>
              <w:top w:val="single" w:sz="4" w:space="0" w:color="auto"/>
              <w:left w:val="single" w:sz="4" w:space="0" w:color="auto"/>
              <w:bottom w:val="nil"/>
              <w:right w:val="nil"/>
            </w:tcBorders>
            <w:noWrap/>
            <w:tcMar>
              <w:top w:w="20" w:type="dxa"/>
              <w:left w:w="20" w:type="dxa"/>
              <w:bottom w:w="0" w:type="dxa"/>
              <w:right w:w="20" w:type="dxa"/>
            </w:tcMar>
            <w:vAlign w:val="bottom"/>
          </w:tcPr>
          <w:p w:rsidR="00942338" w:rsidRDefault="00942338">
            <w:pPr>
              <w:rPr>
                <w:rFonts w:ascii="Tahoma" w:eastAsia="Arial Unicode MS" w:hAnsi="Tahoma"/>
                <w:sz w:val="20"/>
                <w:szCs w:val="20"/>
              </w:rPr>
            </w:pPr>
            <w:r>
              <w:rPr>
                <w:rFonts w:ascii="Tahoma" w:hAnsi="Tahoma" w:cs="Tahoma"/>
                <w:sz w:val="20"/>
                <w:szCs w:val="20"/>
              </w:rPr>
              <w:t xml:space="preserve">Resultado Acumulado Ej.2011 </w:t>
            </w:r>
          </w:p>
        </w:tc>
        <w:tc>
          <w:tcPr>
            <w:tcW w:w="1240"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942338" w:rsidRDefault="00942338">
            <w:pPr>
              <w:jc w:val="right"/>
              <w:rPr>
                <w:rFonts w:eastAsia="Arial Unicode MS"/>
                <w:b/>
                <w:bCs/>
                <w:sz w:val="20"/>
                <w:szCs w:val="20"/>
              </w:rPr>
            </w:pPr>
            <w:r>
              <w:rPr>
                <w:b/>
                <w:bCs/>
                <w:sz w:val="20"/>
                <w:szCs w:val="20"/>
              </w:rPr>
              <w:t>-399,445,637</w:t>
            </w:r>
          </w:p>
        </w:tc>
      </w:tr>
      <w:tr w:rsidR="00942338">
        <w:trPr>
          <w:trHeight w:val="255"/>
        </w:trPr>
        <w:tc>
          <w:tcPr>
            <w:tcW w:w="0" w:type="auto"/>
            <w:tcBorders>
              <w:top w:val="nil"/>
              <w:left w:val="single" w:sz="4" w:space="0" w:color="auto"/>
              <w:bottom w:val="nil"/>
              <w:right w:val="nil"/>
            </w:tcBorders>
            <w:noWrap/>
            <w:tcMar>
              <w:top w:w="0" w:type="dxa"/>
              <w:left w:w="20" w:type="dxa"/>
              <w:bottom w:w="0" w:type="dxa"/>
              <w:right w:w="20" w:type="dxa"/>
            </w:tcMar>
            <w:vAlign w:val="bottom"/>
          </w:tcPr>
          <w:p w:rsidR="00942338" w:rsidRDefault="00942338">
            <w:pPr>
              <w:rPr>
                <w:rFonts w:ascii="Tahoma" w:eastAsia="Arial Unicode MS" w:hAnsi="Tahoma"/>
                <w:sz w:val="20"/>
                <w:szCs w:val="20"/>
              </w:rPr>
            </w:pPr>
            <w:r>
              <w:rPr>
                <w:rFonts w:ascii="Tahoma" w:hAnsi="Tahoma" w:cs="Tahoma"/>
                <w:sz w:val="20"/>
                <w:szCs w:val="20"/>
              </w:rPr>
              <w:t>Resultado del Ej. 2012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942338" w:rsidRDefault="00942338">
            <w:pPr>
              <w:jc w:val="right"/>
              <w:rPr>
                <w:rFonts w:eastAsia="Arial Unicode MS"/>
                <w:sz w:val="20"/>
                <w:szCs w:val="20"/>
              </w:rPr>
            </w:pPr>
            <w:r>
              <w:rPr>
                <w:sz w:val="20"/>
                <w:szCs w:val="20"/>
              </w:rPr>
              <w:t>41,737,614</w:t>
            </w:r>
          </w:p>
        </w:tc>
      </w:tr>
      <w:tr w:rsidR="00942338">
        <w:trPr>
          <w:trHeight w:val="300"/>
        </w:trPr>
        <w:tc>
          <w:tcPr>
            <w:tcW w:w="0" w:type="auto"/>
            <w:tcBorders>
              <w:top w:val="nil"/>
              <w:left w:val="single" w:sz="4" w:space="0" w:color="auto"/>
              <w:bottom w:val="nil"/>
              <w:right w:val="nil"/>
            </w:tcBorders>
            <w:noWrap/>
            <w:tcMar>
              <w:top w:w="0" w:type="dxa"/>
              <w:left w:w="20" w:type="dxa"/>
              <w:bottom w:w="0" w:type="dxa"/>
              <w:right w:w="20" w:type="dxa"/>
            </w:tcMar>
            <w:vAlign w:val="bottom"/>
          </w:tcPr>
          <w:p w:rsidR="00942338" w:rsidRDefault="00942338">
            <w:pPr>
              <w:rPr>
                <w:rFonts w:eastAsia="Arial Unicode MS"/>
              </w:rPr>
            </w:pPr>
          </w:p>
        </w:tc>
        <w:tc>
          <w:tcPr>
            <w:tcW w:w="0" w:type="auto"/>
            <w:tcBorders>
              <w:top w:val="nil"/>
              <w:left w:val="nil"/>
              <w:bottom w:val="nil"/>
              <w:right w:val="single" w:sz="4" w:space="0" w:color="auto"/>
            </w:tcBorders>
            <w:noWrap/>
            <w:tcMar>
              <w:top w:w="0" w:type="dxa"/>
              <w:left w:w="20" w:type="dxa"/>
              <w:bottom w:w="0" w:type="dxa"/>
              <w:right w:w="20" w:type="dxa"/>
            </w:tcMar>
            <w:vAlign w:val="bottom"/>
          </w:tcPr>
          <w:p w:rsidR="00942338" w:rsidRDefault="00942338">
            <w:pPr>
              <w:jc w:val="right"/>
              <w:rPr>
                <w:rFonts w:eastAsia="Arial Unicode MS"/>
                <w:sz w:val="20"/>
                <w:szCs w:val="20"/>
              </w:rPr>
            </w:pPr>
            <w:r>
              <w:rPr>
                <w:sz w:val="20"/>
                <w:szCs w:val="20"/>
              </w:rPr>
              <w:t>-357,708,023</w:t>
            </w:r>
          </w:p>
        </w:tc>
      </w:tr>
      <w:tr w:rsidR="00942338">
        <w:trPr>
          <w:trHeight w:val="255"/>
        </w:trPr>
        <w:tc>
          <w:tcPr>
            <w:tcW w:w="0" w:type="auto"/>
            <w:tcBorders>
              <w:top w:val="nil"/>
              <w:left w:val="single" w:sz="4" w:space="0" w:color="auto"/>
              <w:bottom w:val="nil"/>
              <w:right w:val="nil"/>
            </w:tcBorders>
            <w:noWrap/>
            <w:tcMar>
              <w:top w:w="0" w:type="dxa"/>
              <w:left w:w="20" w:type="dxa"/>
              <w:bottom w:w="0" w:type="dxa"/>
              <w:right w:w="20" w:type="dxa"/>
            </w:tcMar>
            <w:vAlign w:val="bottom"/>
          </w:tcPr>
          <w:p w:rsidR="00942338" w:rsidRDefault="00942338">
            <w:pPr>
              <w:rPr>
                <w:rFonts w:ascii="Tahoma" w:eastAsia="Arial Unicode MS" w:hAnsi="Tahoma"/>
                <w:sz w:val="20"/>
                <w:szCs w:val="20"/>
              </w:rPr>
            </w:pPr>
            <w:r>
              <w:rPr>
                <w:rFonts w:ascii="Tahoma" w:hAnsi="Tahoma" w:cs="Tahoma"/>
                <w:sz w:val="20"/>
                <w:szCs w:val="20"/>
              </w:rPr>
              <w:t xml:space="preserve">Resultado Acumulado S/ RC </w:t>
            </w:r>
          </w:p>
        </w:tc>
        <w:tc>
          <w:tcPr>
            <w:tcW w:w="0" w:type="auto"/>
            <w:tcBorders>
              <w:top w:val="nil"/>
              <w:left w:val="nil"/>
              <w:bottom w:val="nil"/>
              <w:right w:val="single" w:sz="4" w:space="0" w:color="auto"/>
            </w:tcBorders>
            <w:noWrap/>
            <w:tcMar>
              <w:top w:w="0" w:type="dxa"/>
              <w:left w:w="20" w:type="dxa"/>
              <w:bottom w:w="0" w:type="dxa"/>
              <w:right w:w="20" w:type="dxa"/>
            </w:tcMar>
            <w:vAlign w:val="bottom"/>
          </w:tcPr>
          <w:p w:rsidR="00942338" w:rsidRDefault="00942338">
            <w:pPr>
              <w:jc w:val="right"/>
              <w:rPr>
                <w:rFonts w:eastAsia="Arial Unicode MS"/>
                <w:b/>
                <w:bCs/>
                <w:sz w:val="20"/>
                <w:szCs w:val="20"/>
              </w:rPr>
            </w:pPr>
            <w:r>
              <w:rPr>
                <w:b/>
                <w:bCs/>
                <w:sz w:val="20"/>
                <w:szCs w:val="20"/>
              </w:rPr>
              <w:t>-412,474,828</w:t>
            </w:r>
          </w:p>
        </w:tc>
      </w:tr>
      <w:tr w:rsidR="00942338">
        <w:trPr>
          <w:trHeight w:val="255"/>
        </w:trPr>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942338" w:rsidRDefault="00942338">
            <w:pPr>
              <w:rPr>
                <w:rFonts w:ascii="Tahoma" w:eastAsia="Arial Unicode MS" w:hAnsi="Tahoma"/>
                <w:sz w:val="20"/>
                <w:szCs w:val="20"/>
              </w:rPr>
            </w:pPr>
            <w:r>
              <w:rPr>
                <w:rFonts w:ascii="Tahoma" w:hAnsi="Tahoma" w:cs="Tahoma"/>
                <w:sz w:val="20"/>
                <w:szCs w:val="20"/>
              </w:rPr>
              <w:t>Diferencia</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942338" w:rsidRDefault="00942338">
            <w:pPr>
              <w:jc w:val="right"/>
              <w:rPr>
                <w:rFonts w:eastAsia="Arial Unicode MS"/>
                <w:sz w:val="20"/>
                <w:szCs w:val="20"/>
              </w:rPr>
            </w:pPr>
            <w:r>
              <w:rPr>
                <w:sz w:val="20"/>
                <w:szCs w:val="20"/>
              </w:rPr>
              <w:t>54,766,805</w:t>
            </w:r>
          </w:p>
        </w:tc>
      </w:tr>
    </w:tbl>
    <w:p w:rsidR="00942338" w:rsidRDefault="00942338">
      <w:pPr>
        <w:pStyle w:val="BodyText"/>
        <w:rPr>
          <w:lang w:val="es-MX"/>
        </w:rPr>
      </w:pPr>
    </w:p>
    <w:p w:rsidR="00942338" w:rsidRDefault="00942338">
      <w:pPr>
        <w:pStyle w:val="Heading2"/>
      </w:pPr>
      <w:bookmarkStart w:id="30" w:name="_Toc373758928"/>
      <w:r>
        <w:t>3.1.12 Sueldos a Pagar</w:t>
      </w:r>
      <w:bookmarkEnd w:id="30"/>
    </w:p>
    <w:p w:rsidR="00942338" w:rsidRDefault="00942338">
      <w:pPr>
        <w:spacing w:after="0" w:line="360" w:lineRule="auto"/>
        <w:rPr>
          <w:lang w:val="es-MX"/>
        </w:rPr>
      </w:pPr>
      <w:r>
        <w:rPr>
          <w:lang w:val="es-MX"/>
        </w:rPr>
        <w:t>Al cierre de ejercicio se encontraban pendientes de pago las liquidaciones de sueldos Nro. 112074, 112264 y 512271, correspondientes a los sueldos del mes  de diciembre. El líquido a pagar de estas liquidaciones según el módulo presupuestal del sistema contable asciende a $ 28:488.017, en el Estado de las “Obligaciones Presupuestales Impagas” el importe expuesto es de $ 46:545.909.</w:t>
      </w:r>
    </w:p>
    <w:p w:rsidR="00942338" w:rsidRDefault="00942338">
      <w:pPr>
        <w:pStyle w:val="Heading2"/>
        <w:spacing w:before="0" w:after="0"/>
      </w:pPr>
      <w:bookmarkStart w:id="31" w:name="_Toc373758929"/>
      <w:r>
        <w:t>3.1.13 Estado de “Evolución de las Obligaciones Presupuestales 2012”</w:t>
      </w:r>
      <w:bookmarkEnd w:id="31"/>
    </w:p>
    <w:p w:rsidR="00942338" w:rsidRDefault="00942338">
      <w:pPr>
        <w:spacing w:after="0" w:line="360" w:lineRule="auto"/>
      </w:pPr>
      <w:r>
        <w:rPr>
          <w:lang w:val="es-MX"/>
        </w:rPr>
        <w:t>El Estado de “</w:t>
      </w:r>
      <w:r>
        <w:t>Evolución de las Obligaciones Presupuestales 2012” presenta un ajuste del saldo inicial de $ 18:314.095. Se solicitó por Nota del 29/07/13 el desglose de dicho ajuste y se reiteró el pedido por Nota del 06/08/13, no habiéndose proporcionado a la fecha, dicha  información.</w:t>
      </w:r>
    </w:p>
    <w:p w:rsidR="00942338" w:rsidRDefault="00942338">
      <w:pPr>
        <w:pStyle w:val="BodyText"/>
        <w:rPr>
          <w:lang w:val="es-MX"/>
        </w:rPr>
      </w:pPr>
      <w:r>
        <w:rPr>
          <w:lang w:val="es-MX"/>
        </w:rPr>
        <w:t>El listado del sistema informático que refleja el total pagado por ejercicio de obligaciones presupuestales, no incluye el monto real pagado por concepto de sueldo, siendo la cifra expuesta en la columna de “Pagado”  de dicho Estado, estimativa.</w:t>
      </w:r>
    </w:p>
    <w:p w:rsidR="00942338" w:rsidRDefault="00942338">
      <w:pPr>
        <w:pStyle w:val="Heading2"/>
        <w:spacing w:before="0" w:after="0"/>
      </w:pPr>
      <w:bookmarkStart w:id="32" w:name="_Toc242783594"/>
      <w:bookmarkStart w:id="33" w:name="_Toc275353513"/>
      <w:bookmarkStart w:id="34" w:name="_Toc280610052"/>
      <w:bookmarkStart w:id="35" w:name="_Toc373758930"/>
      <w:r>
        <w:t>3.2 Constataciones que no afectan la opinión de los Estados Contables</w:t>
      </w:r>
      <w:bookmarkEnd w:id="32"/>
      <w:bookmarkEnd w:id="33"/>
      <w:bookmarkEnd w:id="34"/>
      <w:bookmarkEnd w:id="35"/>
    </w:p>
    <w:p w:rsidR="00942338" w:rsidRDefault="00942338">
      <w:pPr>
        <w:pStyle w:val="Heading2"/>
        <w:spacing w:before="0" w:after="0"/>
      </w:pPr>
      <w:bookmarkStart w:id="36" w:name="_Toc373758931"/>
      <w:r>
        <w:t>3.2.1 Diferencias entre el Sistema Contable y Sistema de Cobros</w:t>
      </w:r>
      <w:bookmarkEnd w:id="36"/>
      <w:r>
        <w:t xml:space="preserve"> </w:t>
      </w:r>
    </w:p>
    <w:p w:rsidR="00942338" w:rsidRDefault="00942338">
      <w:pPr>
        <w:pStyle w:val="BodyText"/>
        <w:rPr>
          <w:lang w:val="es-MX"/>
        </w:rPr>
      </w:pPr>
      <w:r>
        <w:rPr>
          <w:lang w:val="es-MX"/>
        </w:rPr>
        <w:t>Los recursos recaudados en el ejercicio 2012 según el sistema contable ascendieron a $ 1.083:365.236 mientras que según el Sistema de Cobros es de $ 1.076:386.165, resultando una diferencia neta de $ 6:979.071. Dicha diferencia está compuesta por $ 6:513.270  correspondiente a la recaudación de las Cabañas Municipales del Parque Andresito que no son ingresadas en el Sistema de Cobro y por $ 465.801 correspondiente a otras diferencias no identificadas.</w:t>
      </w:r>
    </w:p>
    <w:p w:rsidR="00942338" w:rsidRDefault="00942338">
      <w:pPr>
        <w:pStyle w:val="Heading2"/>
        <w:spacing w:before="0" w:after="0"/>
      </w:pPr>
      <w:bookmarkStart w:id="37" w:name="_Toc373758932"/>
      <w:r>
        <w:t>3.2.2 Ingresos de Origen Nacional contabilizados</w:t>
      </w:r>
      <w:bookmarkEnd w:id="37"/>
    </w:p>
    <w:p w:rsidR="00942338" w:rsidRDefault="00942338">
      <w:pPr>
        <w:spacing w:after="0" w:line="360" w:lineRule="auto"/>
      </w:pPr>
      <w:r>
        <w:t>Se registraron como recursos de Origen Nacional $ 543.843. Dicho ingreso corresponde ser registrado en el ejercicio 2013. El origen de dicho recurso es la partida prevista por el Art. 214 de la Constitución de la República, la cual es compensada  según se dispuso en el convenio  de pago firmado entre la Intendencia y el Ministerio de Economía y Finanzas el 20/01/2012.</w:t>
      </w:r>
    </w:p>
    <w:p w:rsidR="00942338" w:rsidRDefault="00942338">
      <w:pPr>
        <w:pStyle w:val="Heading2"/>
        <w:spacing w:before="0" w:after="0"/>
      </w:pPr>
      <w:bookmarkStart w:id="38" w:name="_Toc373758933"/>
      <w:r>
        <w:t>3.2.3 Diferencias en los saldos adeudados con acreedores</w:t>
      </w:r>
      <w:bookmarkEnd w:id="38"/>
      <w:r>
        <w:t xml:space="preserve"> </w:t>
      </w:r>
    </w:p>
    <w:p w:rsidR="00942338" w:rsidRDefault="00942338">
      <w:pPr>
        <w:pStyle w:val="BodyText"/>
        <w:tabs>
          <w:tab w:val="left" w:pos="360"/>
        </w:tabs>
      </w:pPr>
      <w:r>
        <w:t xml:space="preserve">Se presentan diferencias  entre los saldos que se exponen en la  Rendición de Cuentas y los  informados por algunos acreedores en la circularización de saldos. Entre otras se señalan: </w:t>
      </w:r>
    </w:p>
    <w:tbl>
      <w:tblPr>
        <w:tblW w:w="7320" w:type="dxa"/>
        <w:tblInd w:w="571" w:type="dxa"/>
        <w:tblCellMar>
          <w:left w:w="0" w:type="dxa"/>
          <w:right w:w="0" w:type="dxa"/>
        </w:tblCellMar>
        <w:tblLook w:val="0000"/>
      </w:tblPr>
      <w:tblGrid>
        <w:gridCol w:w="3720"/>
        <w:gridCol w:w="1200"/>
        <w:gridCol w:w="1200"/>
        <w:gridCol w:w="1200"/>
      </w:tblGrid>
      <w:tr w:rsidR="00942338">
        <w:trPr>
          <w:trHeight w:val="675"/>
        </w:trPr>
        <w:tc>
          <w:tcPr>
            <w:tcW w:w="3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2338" w:rsidRDefault="00942338">
            <w:pPr>
              <w:pStyle w:val="Heading7"/>
              <w:rPr>
                <w:rFonts w:eastAsia="Arial Unicode MS"/>
              </w:rPr>
            </w:pPr>
            <w:r>
              <w:t>Código Beneficiario</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eastAsia="Arial Unicode MS"/>
                <w:b/>
                <w:bCs/>
                <w:sz w:val="16"/>
                <w:szCs w:val="16"/>
              </w:rPr>
            </w:pPr>
            <w:r>
              <w:rPr>
                <w:b/>
                <w:bCs/>
                <w:sz w:val="16"/>
                <w:szCs w:val="16"/>
              </w:rPr>
              <w:t>Saldo Según Rendición de Cuentas</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eastAsia="Arial Unicode MS"/>
                <w:b/>
                <w:bCs/>
                <w:sz w:val="16"/>
                <w:szCs w:val="16"/>
              </w:rPr>
            </w:pPr>
            <w:r>
              <w:rPr>
                <w:b/>
                <w:bCs/>
                <w:sz w:val="16"/>
                <w:szCs w:val="16"/>
              </w:rPr>
              <w:t>Saldo Según circularización</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42338" w:rsidRDefault="00942338">
            <w:pPr>
              <w:jc w:val="center"/>
              <w:rPr>
                <w:rFonts w:eastAsia="Arial Unicode MS"/>
                <w:b/>
                <w:bCs/>
                <w:sz w:val="16"/>
                <w:szCs w:val="16"/>
              </w:rPr>
            </w:pPr>
            <w:r>
              <w:rPr>
                <w:b/>
                <w:bCs/>
                <w:sz w:val="16"/>
                <w:szCs w:val="16"/>
              </w:rPr>
              <w:t>Diferencia</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51 IDEFOTO LTDA.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rPr>
              <w:t xml:space="preserve">             </w:t>
            </w:r>
            <w:r>
              <w:rPr>
                <w:sz w:val="16"/>
                <w:szCs w:val="16"/>
                <w:lang w:val="en-US"/>
              </w:rPr>
              <w:t xml:space="preserve">24,456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25,699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1,243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1431 REPROMAX</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31,167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19,068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12,099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1810 FULLCAT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lang w:val="en-US"/>
              </w:rPr>
              <w:t xml:space="preserve">           </w:t>
            </w:r>
            <w:r>
              <w:rPr>
                <w:sz w:val="16"/>
                <w:szCs w:val="16"/>
              </w:rPr>
              <w:t xml:space="preserve">101,675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105,951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4,276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4027 CONSTRUCTORA BURO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437,752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583,814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146,062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4244 AYALA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93,829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1,061,209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967,380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4286 JULIO C. DIFILIPPO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31,906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42,410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10,504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4307 ABITAB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rPr>
              <w:t xml:space="preserve">             </w:t>
            </w:r>
            <w:r>
              <w:rPr>
                <w:sz w:val="16"/>
                <w:szCs w:val="16"/>
                <w:lang w:val="en-US"/>
              </w:rPr>
              <w:t xml:space="preserve">89,542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28,131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61,410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lang w:val="en-US"/>
              </w:rPr>
            </w:pPr>
            <w:r>
              <w:rPr>
                <w:sz w:val="16"/>
                <w:szCs w:val="16"/>
                <w:lang w:val="en-US"/>
              </w:rPr>
              <w:t xml:space="preserve">      4444 IMPORT TRADING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lang w:val="en-US"/>
              </w:rPr>
              <w:t xml:space="preserve">        </w:t>
            </w:r>
            <w:r>
              <w:rPr>
                <w:sz w:val="16"/>
                <w:szCs w:val="16"/>
              </w:rPr>
              <w:t xml:space="preserve">2,706,047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4,369,092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1,663,045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4623 FERROSUR LTDA.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41,816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67,150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25,334 </w:t>
            </w:r>
          </w:p>
        </w:tc>
      </w:tr>
      <w:tr w:rsidR="00942338">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5036 PERTILCO S.A.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81,095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92,738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42338" w:rsidRDefault="00942338">
            <w:pPr>
              <w:rPr>
                <w:rFonts w:eastAsia="Arial Unicode MS"/>
                <w:sz w:val="16"/>
                <w:szCs w:val="16"/>
              </w:rPr>
            </w:pPr>
            <w:r>
              <w:rPr>
                <w:sz w:val="16"/>
                <w:szCs w:val="16"/>
              </w:rPr>
              <w:t xml:space="preserve">-           11,643 </w:t>
            </w:r>
          </w:p>
        </w:tc>
      </w:tr>
    </w:tbl>
    <w:p w:rsidR="00942338" w:rsidRDefault="00942338">
      <w:pPr>
        <w:pStyle w:val="BodyText"/>
        <w:tabs>
          <w:tab w:val="left" w:pos="360"/>
        </w:tabs>
      </w:pPr>
    </w:p>
    <w:p w:rsidR="00942338" w:rsidRDefault="00942338">
      <w:pPr>
        <w:pStyle w:val="Heading2"/>
      </w:pPr>
      <w:bookmarkStart w:id="39" w:name="_Toc275353507"/>
      <w:bookmarkStart w:id="40" w:name="_Toc373758934"/>
      <w:r>
        <w:t>3.2.4 Diferencia en Documentos a Pagar</w:t>
      </w:r>
      <w:bookmarkEnd w:id="39"/>
      <w:bookmarkEnd w:id="40"/>
    </w:p>
    <w:p w:rsidR="00942338" w:rsidRDefault="00942338">
      <w:pPr>
        <w:spacing w:line="360" w:lineRule="auto"/>
      </w:pPr>
      <w:r>
        <w:t>Al cierre de ejercicio existían conformes firmados a nombre de Comero y Cynsa. En el Estado de “Evolución del Endeudamiento Financiero” no fueron expuestos los conformes a nombre de Comero y en ninguno de los dos casos  se adjuntaron las fotocopias de los mismos, como lo establece el Instructivo de Rendición de Cuentas aprobado por este Tribunal el 28/01/04.</w:t>
      </w:r>
    </w:p>
    <w:p w:rsidR="00942338" w:rsidRDefault="00942338">
      <w:pPr>
        <w:spacing w:line="360" w:lineRule="auto"/>
      </w:pPr>
    </w:p>
    <w:p w:rsidR="00942338" w:rsidRDefault="00942338">
      <w:pPr>
        <w:pStyle w:val="Heading2"/>
      </w:pPr>
      <w:bookmarkStart w:id="41" w:name="_Toc242783598"/>
      <w:bookmarkStart w:id="42" w:name="_Toc275353518"/>
      <w:bookmarkStart w:id="43" w:name="_Toc373758935"/>
      <w:r>
        <w:t>3.3 Incumplimiento de Normas Legales</w:t>
      </w:r>
      <w:bookmarkEnd w:id="41"/>
      <w:bookmarkEnd w:id="42"/>
      <w:bookmarkEnd w:id="43"/>
    </w:p>
    <w:p w:rsidR="00942338" w:rsidRDefault="00942338">
      <w:pPr>
        <w:pStyle w:val="BodyText"/>
        <w:rPr>
          <w:lang w:val="es-MX"/>
        </w:rPr>
      </w:pPr>
      <w:r>
        <w:rPr>
          <w:lang w:val="es-MX"/>
        </w:rPr>
        <w:t>Con referencia al incumplimiento de las disposiciones legales, ya señalado en el Dictamen, se realizan las siguientes consideraciones:</w:t>
      </w:r>
    </w:p>
    <w:p w:rsidR="00942338" w:rsidRDefault="00942338">
      <w:pPr>
        <w:pStyle w:val="Heading2"/>
        <w:spacing w:before="0" w:after="0"/>
      </w:pPr>
      <w:bookmarkStart w:id="44" w:name="_Toc373758936"/>
      <w:bookmarkStart w:id="45" w:name="_Toc242783599"/>
      <w:bookmarkStart w:id="46" w:name="_Toc275353519"/>
      <w:r>
        <w:t>3.3.1 Artículo 211 Literal B) de la Constitución de la República y Artículo 111 del TOCAF</w:t>
      </w:r>
      <w:bookmarkEnd w:id="44"/>
    </w:p>
    <w:p w:rsidR="00942338" w:rsidRDefault="00942338">
      <w:pPr>
        <w:pStyle w:val="BodyText"/>
        <w:rPr>
          <w:lang w:val="es-MX"/>
        </w:rPr>
      </w:pPr>
      <w:r>
        <w:rPr>
          <w:lang w:val="es-MX"/>
        </w:rPr>
        <w:t>Se constataron contrataciones de arrendamientos de servicios, prórrogas, ampliaciones, licitaciones abreviadas, en las que el gasto se remite a la intervención preventiva del Tribunal de Cuentas estando ya en ejecución el contrato, contraviniendo lo dispuesto en los Artículos 211 Literal B) de la Constitución de la República y Art. 111 del TOCAF.</w:t>
      </w:r>
    </w:p>
    <w:p w:rsidR="00942338" w:rsidRDefault="00942338">
      <w:pPr>
        <w:pStyle w:val="BodyText"/>
        <w:rPr>
          <w:lang w:val="es-MX"/>
        </w:rPr>
      </w:pPr>
      <w:r>
        <w:rPr>
          <w:lang w:val="es-MX"/>
        </w:rPr>
        <w:t>Además se constató que el contrato de Fideicomiso denominado “Fondo de Garantía de Primer Piso Microfinanzas Rocha”, firmado entre la OPP, la Intendencia de Rocha y el BROU el 29/12/2011, cuenta con principio de ejecución al haberse celebrado sin la intervención preventiva del Tribunal de Cuentas, de acuerdo al Artículo 211 Literal B) de la Constitución de la República.</w:t>
      </w:r>
    </w:p>
    <w:p w:rsidR="00942338" w:rsidRDefault="00942338">
      <w:pPr>
        <w:pStyle w:val="Heading2"/>
        <w:spacing w:before="0" w:after="0"/>
      </w:pPr>
      <w:bookmarkStart w:id="47" w:name="_Toc373758937"/>
      <w:r>
        <w:t>3.3.2 Fondos Indisponibles</w:t>
      </w:r>
      <w:bookmarkEnd w:id="45"/>
      <w:bookmarkEnd w:id="46"/>
      <w:bookmarkEnd w:id="47"/>
      <w:r>
        <w:t xml:space="preserve"> </w:t>
      </w:r>
    </w:p>
    <w:p w:rsidR="00942338" w:rsidRDefault="00942338">
      <w:pPr>
        <w:spacing w:line="360" w:lineRule="auto"/>
        <w:rPr>
          <w:lang w:val="es-MX"/>
        </w:rPr>
      </w:pPr>
      <w:r>
        <w:rPr>
          <w:lang w:val="es-MX"/>
        </w:rPr>
        <w:t xml:space="preserve">La Intendencia mantiene adeudos, por las retenciones efectuadas desde el año 2002, correspondientes a ANDA, Comisión Camping Municipal, Cooperativa Policial y Rutas del Sol. </w:t>
      </w:r>
    </w:p>
    <w:p w:rsidR="00942338" w:rsidRDefault="00942338">
      <w:pPr>
        <w:spacing w:after="0" w:line="360" w:lineRule="auto"/>
        <w:rPr>
          <w:lang w:val="es-MX"/>
        </w:rPr>
      </w:pPr>
      <w:r>
        <w:rPr>
          <w:lang w:val="es-MX"/>
        </w:rPr>
        <w:t xml:space="preserve">Además, no fueron vertidas en tiempo y forma al BROU las retenciones por concepto de Crédito Social realizadas a sus funcionarios desde el Ejercicio  2000. La Intendencia firmó un convenio de pago con dicho Banco incluyendo las referidas deudas. </w:t>
      </w:r>
    </w:p>
    <w:p w:rsidR="00942338" w:rsidRDefault="00942338">
      <w:pPr>
        <w:pStyle w:val="Heading2"/>
        <w:spacing w:before="0" w:after="0"/>
      </w:pPr>
      <w:bookmarkStart w:id="48" w:name="_Toc182737712"/>
      <w:bookmarkStart w:id="49" w:name="_Toc242783600"/>
      <w:bookmarkStart w:id="50" w:name="_Toc275353520"/>
      <w:bookmarkStart w:id="51" w:name="_Toc373758938"/>
      <w:r>
        <w:t>3.3.3 Anticipos a Rendir</w:t>
      </w:r>
      <w:bookmarkEnd w:id="48"/>
      <w:bookmarkEnd w:id="49"/>
      <w:bookmarkEnd w:id="50"/>
      <w:bookmarkEnd w:id="51"/>
    </w:p>
    <w:p w:rsidR="00942338" w:rsidRDefault="00942338">
      <w:pPr>
        <w:spacing w:line="360" w:lineRule="auto"/>
        <w:rPr>
          <w:lang w:val="es-MX"/>
        </w:rPr>
      </w:pPr>
      <w:r>
        <w:rPr>
          <w:lang w:val="es-MX"/>
        </w:rPr>
        <w:t xml:space="preserve">Durante el ejercicio 2012 se otorgaron anticipos o vales a rendir cuenta a funcionarios que tenían partidas anteriores pendientes de rendición, en contravención a lo dispuesto por el Artículo 416 de la  Ley N° 17.930. </w:t>
      </w:r>
    </w:p>
    <w:p w:rsidR="00942338" w:rsidRDefault="00942338">
      <w:pPr>
        <w:spacing w:after="0" w:line="360" w:lineRule="auto"/>
        <w:rPr>
          <w:lang w:val="es-MX"/>
        </w:rPr>
      </w:pPr>
      <w:r>
        <w:rPr>
          <w:lang w:val="es-MX"/>
        </w:rPr>
        <w:t xml:space="preserve">Asimismo se constató la entrega de partidas que se rindieron en un plazo superior al establecido en el Artículo 132 del TOCAF. Otras partidas fueron rendidas con gastos devengados con anterioridad a la fecha de entrega de la partida. </w:t>
      </w:r>
    </w:p>
    <w:p w:rsidR="00942338" w:rsidRDefault="00942338">
      <w:pPr>
        <w:pStyle w:val="BodyText"/>
        <w:tabs>
          <w:tab w:val="left" w:pos="7800"/>
        </w:tabs>
        <w:rPr>
          <w:lang w:val="es-MX"/>
        </w:rPr>
      </w:pPr>
      <w:r>
        <w:rPr>
          <w:lang w:val="es-MX"/>
        </w:rPr>
        <w:t>No se pudo corroborar en todos los casos que las  partidas se hayan  rendido dentro de los plazos establecido en el Artículo 132 del TOCAF, ya que no se deja constancia física  de la fecha de recibida la rendición de los comprobantes, así como tampoco en el sistema contable se reflejaron las fechas reales de rendidas.</w:t>
      </w:r>
    </w:p>
    <w:p w:rsidR="00942338" w:rsidRDefault="00942338">
      <w:pPr>
        <w:pStyle w:val="Heading2"/>
        <w:spacing w:before="0" w:after="0"/>
      </w:pPr>
      <w:bookmarkStart w:id="52" w:name="_Toc178587464"/>
      <w:bookmarkStart w:id="53" w:name="_Toc182737717"/>
      <w:bookmarkStart w:id="54" w:name="_Toc242783601"/>
      <w:bookmarkStart w:id="55" w:name="_Toc275353521"/>
      <w:bookmarkStart w:id="56" w:name="_Toc373758939"/>
      <w:r>
        <w:t>3.3.4 Compensaciones de créditos y deudas por tributos</w:t>
      </w:r>
      <w:bookmarkEnd w:id="52"/>
      <w:bookmarkEnd w:id="53"/>
      <w:bookmarkEnd w:id="54"/>
      <w:bookmarkEnd w:id="55"/>
      <w:bookmarkEnd w:id="56"/>
    </w:p>
    <w:p w:rsidR="00942338" w:rsidRDefault="00942338">
      <w:pPr>
        <w:pStyle w:val="BodyText"/>
        <w:rPr>
          <w:lang w:val="es-MX"/>
        </w:rPr>
      </w:pPr>
      <w:r>
        <w:rPr>
          <w:lang w:val="es-MX"/>
        </w:rPr>
        <w:t xml:space="preserve">La Intendencia efectúa con algunos de sus acreedores la compensación de deudas tributarias propias y de terceros, contraviniendo lo establecido en los Artículos 25 del TOCAF y  478 de la Ley N° 17.930, que impiden este último caso. </w:t>
      </w:r>
    </w:p>
    <w:p w:rsidR="00942338" w:rsidRDefault="00942338">
      <w:pPr>
        <w:pStyle w:val="Heading2"/>
        <w:spacing w:before="0" w:after="0"/>
      </w:pPr>
      <w:bookmarkStart w:id="57" w:name="_Toc275353523"/>
      <w:bookmarkStart w:id="58" w:name="_Toc373758940"/>
      <w:bookmarkStart w:id="59" w:name="_Toc182737713"/>
      <w:bookmarkStart w:id="60" w:name="_Toc242783603"/>
      <w:r>
        <w:t>3.3.5 Pago de Sueldos a funcionarios</w:t>
      </w:r>
      <w:bookmarkEnd w:id="57"/>
      <w:bookmarkEnd w:id="58"/>
    </w:p>
    <w:p w:rsidR="00942338" w:rsidRDefault="00942338">
      <w:pPr>
        <w:spacing w:after="0" w:line="360" w:lineRule="auto"/>
        <w:rPr>
          <w:lang w:val="es-MX"/>
        </w:rPr>
      </w:pPr>
      <w:r>
        <w:rPr>
          <w:lang w:val="es-MX"/>
        </w:rPr>
        <w:t>Se constataron liquidaciones de sueldos en las que no se cumplió con lo establecido en la Ley N° 17.829, al haberse abonado menos del 30% del sueldo líquido en efectivo</w:t>
      </w:r>
      <w:r>
        <w:t xml:space="preserve"> al funcionario. Esto </w:t>
      </w:r>
      <w:r>
        <w:rPr>
          <w:lang w:val="es-MX"/>
        </w:rPr>
        <w:t>tiene su origen en que algunos descuentos que se efectúan a los funcionarios (como ser los correspondientes a expendio municipal, hotel municipal, camping y complejo deportivo), son considerados por el sistema informático como si hubieran sido  abonados en efectivo, deduciéndolos de los respectivos sueldos.</w:t>
      </w:r>
    </w:p>
    <w:p w:rsidR="00942338" w:rsidRDefault="00942338">
      <w:pPr>
        <w:pStyle w:val="Heading2"/>
        <w:spacing w:before="0" w:after="0"/>
      </w:pPr>
      <w:bookmarkStart w:id="61" w:name="_Toc373758941"/>
      <w:r>
        <w:t>3.3.6 Descuento de Montepío sobre el aguinaldo</w:t>
      </w:r>
      <w:bookmarkEnd w:id="61"/>
    </w:p>
    <w:p w:rsidR="00942338" w:rsidRDefault="00942338">
      <w:pPr>
        <w:pStyle w:val="BodyText"/>
        <w:rPr>
          <w:lang w:val="es-MX"/>
        </w:rPr>
      </w:pPr>
      <w:r>
        <w:rPr>
          <w:lang w:val="es-MX"/>
        </w:rPr>
        <w:t>El descuento de montepío sobre el aguinaldo no se ajusta a la normativa vigente al no estar considerando el tope de aportación como lo dispone el Decreto 440/97 del 12/11/97.</w:t>
      </w:r>
    </w:p>
    <w:p w:rsidR="00942338" w:rsidRDefault="00942338">
      <w:pPr>
        <w:pStyle w:val="Heading2"/>
      </w:pPr>
      <w:bookmarkStart w:id="62" w:name="_Toc275353524"/>
      <w:bookmarkStart w:id="63" w:name="_Toc373758942"/>
      <w:r>
        <w:t>3.3.7 Adelantos de sueldos a funcionarios</w:t>
      </w:r>
      <w:bookmarkEnd w:id="62"/>
      <w:bookmarkEnd w:id="63"/>
    </w:p>
    <w:p w:rsidR="00942338" w:rsidRDefault="00942338">
      <w:pPr>
        <w:pStyle w:val="BodyText"/>
      </w:pPr>
      <w:r>
        <w:t>Se constataron adelantos de sueldos entregados  a funcionarios que mantenían retenciones de sueldos pendientes de descontar (Artículo 35 de la Ley 9515).</w:t>
      </w:r>
    </w:p>
    <w:p w:rsidR="00942338" w:rsidRDefault="00942338">
      <w:pPr>
        <w:pStyle w:val="Heading2"/>
      </w:pPr>
      <w:bookmarkStart w:id="64" w:name="_Toc275353525"/>
      <w:bookmarkStart w:id="65" w:name="_Toc373758943"/>
      <w:r>
        <w:t>3.3.8 Adquisición de Bienes y Servicios.</w:t>
      </w:r>
      <w:bookmarkEnd w:id="59"/>
      <w:bookmarkEnd w:id="60"/>
      <w:bookmarkEnd w:id="64"/>
      <w:bookmarkEnd w:id="65"/>
    </w:p>
    <w:p w:rsidR="00942338" w:rsidRDefault="00942338">
      <w:pPr>
        <w:spacing w:line="360" w:lineRule="auto"/>
      </w:pPr>
      <w:r>
        <w:t>Se efectuaron contrataciones sin utilizar el procedimiento de selección del contratante que hubiera correspondido, de acuerdo al  monto de la contratación conforme a lo dispuesto por el Artículo 33 del TOCAF, y sin que el Ordenador dejara constancia en el expediente de los fundamentos para fraccionar el gasto o de su conveniencia para el servicio, como exige el Artículo 43 Inciso 3) del TOCAF.</w:t>
      </w:r>
    </w:p>
    <w:p w:rsidR="00942338" w:rsidRDefault="00942338">
      <w:pPr>
        <w:spacing w:line="360" w:lineRule="auto"/>
      </w:pPr>
      <w:r>
        <w:t>Además no se ha implementado una política de compras que le permita realizar las adquisiciones de artículos  de un mismo ramo en forma conjunta, de manera de evitar los fraccionamientos de gastos sin fundamentar.</w:t>
      </w:r>
    </w:p>
    <w:p w:rsidR="00942338" w:rsidRDefault="00942338">
      <w:pPr>
        <w:spacing w:line="360" w:lineRule="auto"/>
      </w:pPr>
      <w:r>
        <w:t>En el ejercicio 2012 se adquirieron, entre otros, artículos de papelería, materiales eléctricos, lubricantes, leña, portland, arena, gravilla, cámaras y neumáticos, servicios de limpieza, servicios de transporte y carga omitiéndose el procedimiento de contratación que hubiera correspondido de acuerdo al monto.</w:t>
      </w:r>
    </w:p>
    <w:p w:rsidR="00942338" w:rsidRDefault="00942338">
      <w:pPr>
        <w:pStyle w:val="Heading2"/>
      </w:pPr>
      <w:bookmarkStart w:id="66" w:name="_Toc275353526"/>
      <w:bookmarkStart w:id="67" w:name="_Toc373758944"/>
      <w:r>
        <w:t>3.3.9 Pliego particular de condiciones</w:t>
      </w:r>
      <w:bookmarkEnd w:id="66"/>
      <w:bookmarkEnd w:id="67"/>
    </w:p>
    <w:p w:rsidR="00942338" w:rsidRDefault="00942338">
      <w:pPr>
        <w:pStyle w:val="BodyText"/>
      </w:pPr>
      <w:r>
        <w:t>En algunas</w:t>
      </w:r>
      <w:r>
        <w:rPr>
          <w:b/>
          <w:bCs/>
        </w:rPr>
        <w:t xml:space="preserve"> </w:t>
      </w:r>
      <w:r>
        <w:t>licitaciones como ser las N° 12/2012 “Compra de leña Complejo Médico Deportivo” y la N° 13/2012 ”Arrendamiento de camiones para fletes de tosca a Cebollatí” los pliegos no contienen la ponderación de los principales factores que se tendrán en cuenta para evaluar la oferta,  y se impone al oferente requisitos que no están directamente vinculados a la consideración del objeto de la contratación y a la evaluación de la oferta , al solicitarle a éste en el momento  de la presentación  de la oferta el recibo de compra del pliego.</w:t>
      </w:r>
    </w:p>
    <w:p w:rsidR="00942338" w:rsidRDefault="00942338">
      <w:pPr>
        <w:pStyle w:val="BodyText"/>
        <w:rPr>
          <w:u w:val="single"/>
          <w:lang w:val="es-MX"/>
        </w:rPr>
      </w:pPr>
      <w:r>
        <w:rPr>
          <w:lang w:val="es-MX"/>
        </w:rPr>
        <w:t>En la Licitación Abreviada Nº 14/2012 ”Compra de elementos de seguridad laboral para el uso de funcionarios de la IDR” se pudo constatar que en el Pliego de Condiciones se exigía como requisito esencial la constitución de domicilio a todos los efectos de la licitación, en el Departamento de Rocha, pudiéndose comprobar que algunas de las firmas adjudicatarias no constituyeron dicho domicilio.</w:t>
      </w:r>
    </w:p>
    <w:p w:rsidR="00942338" w:rsidRDefault="00942338">
      <w:pPr>
        <w:pStyle w:val="Heading2"/>
      </w:pPr>
      <w:bookmarkStart w:id="68" w:name="_Toc373758945"/>
      <w:bookmarkStart w:id="69" w:name="_Toc242783605"/>
      <w:bookmarkStart w:id="70" w:name="_Toc275353527"/>
      <w:bookmarkStart w:id="71" w:name="_Toc182737711"/>
      <w:r>
        <w:t>3.3.10 Publicación en la página web de Compras y Contrataciones Estatales</w:t>
      </w:r>
      <w:bookmarkEnd w:id="68"/>
    </w:p>
    <w:p w:rsidR="00942338" w:rsidRDefault="00942338">
      <w:pPr>
        <w:pStyle w:val="BodyText"/>
      </w:pPr>
      <w:r>
        <w:t>No se realizaron en todos los casos las publicaciones correspondientes en la página web de Compras y Contrataciones Estatales, de las contrataciones de obras, bienes y servicios, así como  de las ampliaciones y de los actos de reiteración de gastos observados por el Tribunal de Cuentas. Tal es el caso de las licitaciones N° 12/2012, 13/2012, 14/2012 y 20/2012 las cuales se encuentran publicadas en trámite siendo que ya se encuentran adjudicadas. En otros casos de compras directas, no se realizaron las publicaciones correspondientes.</w:t>
      </w:r>
    </w:p>
    <w:p w:rsidR="00942338" w:rsidRDefault="00942338">
      <w:pPr>
        <w:pStyle w:val="Heading2"/>
      </w:pPr>
      <w:bookmarkStart w:id="72" w:name="_Toc373758946"/>
      <w:r>
        <w:t>3.3.11 Garantía de Fiel Cumplimiento de Contrato</w:t>
      </w:r>
      <w:bookmarkEnd w:id="69"/>
      <w:bookmarkEnd w:id="70"/>
      <w:bookmarkEnd w:id="72"/>
    </w:p>
    <w:p w:rsidR="00942338" w:rsidRDefault="00942338">
      <w:pPr>
        <w:spacing w:line="360" w:lineRule="auto"/>
        <w:rPr>
          <w:lang w:val="es-MX"/>
        </w:rPr>
      </w:pPr>
      <w:r>
        <w:rPr>
          <w:lang w:val="es-MX"/>
        </w:rPr>
        <w:t>En los expedientes relacionados con las Licitaciones Abreviadas Nos. 3/2012 y  4/2012 no hay constancia de que se haya constituido la garantía de fiel cumplimiento de contrato a que refiere el Artículo 64 del TOCAF.</w:t>
      </w:r>
    </w:p>
    <w:p w:rsidR="00942338" w:rsidRDefault="00942338">
      <w:pPr>
        <w:pStyle w:val="Heading2"/>
      </w:pPr>
      <w:bookmarkStart w:id="73" w:name="_Toc242783606"/>
      <w:bookmarkStart w:id="74" w:name="_Toc275353528"/>
      <w:bookmarkStart w:id="75" w:name="_Toc373758947"/>
      <w:r>
        <w:t>3.3.12 Inventario de Bienes de Uso</w:t>
      </w:r>
      <w:bookmarkEnd w:id="73"/>
      <w:bookmarkEnd w:id="74"/>
      <w:bookmarkEnd w:id="75"/>
    </w:p>
    <w:p w:rsidR="00942338" w:rsidRDefault="00942338">
      <w:pPr>
        <w:spacing w:line="360" w:lineRule="auto"/>
      </w:pPr>
      <w:r>
        <w:t>La Intendencia dispone de un inventario de bienes muebles e inmuebles pero sin valuación, incumpliendo lo establecido en el Artículo 84 del TOCAF.</w:t>
      </w:r>
    </w:p>
    <w:p w:rsidR="00942338" w:rsidRDefault="00942338">
      <w:pPr>
        <w:pStyle w:val="Heading2"/>
      </w:pPr>
      <w:bookmarkStart w:id="76" w:name="_Toc242783607"/>
      <w:bookmarkStart w:id="77" w:name="_Toc275353529"/>
      <w:bookmarkStart w:id="78" w:name="_Toc373758948"/>
      <w:r>
        <w:t>3.3.13 Gestión Patrimonial</w:t>
      </w:r>
      <w:bookmarkEnd w:id="71"/>
      <w:bookmarkEnd w:id="76"/>
      <w:bookmarkEnd w:id="77"/>
      <w:bookmarkEnd w:id="78"/>
      <w:r>
        <w:t xml:space="preserve"> </w:t>
      </w:r>
    </w:p>
    <w:p w:rsidR="00942338" w:rsidRDefault="00942338">
      <w:pPr>
        <w:spacing w:line="360" w:lineRule="auto"/>
      </w:pPr>
      <w:r>
        <w:t>No se ha llevado a cabo la implementación de la contabilidad patrimonial, por lo que no se ha dado cumplimiento a lo establecido en el Artículo 94 del TOCAF y la Ordenanza 81 en cuanto a la presentación de los estados contables.</w:t>
      </w:r>
    </w:p>
    <w:p w:rsidR="00942338" w:rsidRDefault="00942338">
      <w:pPr>
        <w:pStyle w:val="Heading2"/>
      </w:pPr>
      <w:bookmarkStart w:id="79" w:name="_Toc242783608"/>
      <w:bookmarkStart w:id="80" w:name="_Toc275353530"/>
      <w:bookmarkStart w:id="81" w:name="_Toc373758949"/>
      <w:bookmarkStart w:id="82" w:name="_Toc182737715"/>
      <w:r>
        <w:t>3.3.14 Auditoría Interna</w:t>
      </w:r>
      <w:bookmarkEnd w:id="79"/>
      <w:bookmarkEnd w:id="80"/>
      <w:bookmarkEnd w:id="81"/>
    </w:p>
    <w:p w:rsidR="00942338" w:rsidRDefault="00942338">
      <w:pPr>
        <w:pStyle w:val="BodyText"/>
      </w:pPr>
      <w:r>
        <w:t>La Unidad de Auditoría Interna creada, no cumple con lo establecido en el Artículo 111 num. 6° del TOCAF, al realizar únicamente tareas a solicitud del  Ejecutivo Departamental y no realizarse una planificación de las auditorías coordinada con el Tribunal. A mediados del ejercicio 2012 la Intendencia contrató a un Contador Público para estar a cargo de la Unidad de Auditoría Interna.</w:t>
      </w:r>
    </w:p>
    <w:p w:rsidR="00942338" w:rsidRDefault="00942338">
      <w:pPr>
        <w:pStyle w:val="Heading2"/>
      </w:pPr>
      <w:bookmarkStart w:id="83" w:name="_Toc242783610"/>
      <w:bookmarkStart w:id="84" w:name="_Toc275353532"/>
      <w:bookmarkStart w:id="85" w:name="_Toc373758950"/>
      <w:r>
        <w:t>3.3.15 Póliza de Seguro o Fianza para los funcionarios que manejan fondos</w:t>
      </w:r>
      <w:bookmarkEnd w:id="82"/>
      <w:bookmarkEnd w:id="83"/>
      <w:bookmarkEnd w:id="84"/>
      <w:bookmarkEnd w:id="85"/>
    </w:p>
    <w:p w:rsidR="00942338" w:rsidRDefault="00942338">
      <w:pPr>
        <w:spacing w:line="360" w:lineRule="auto"/>
      </w:pPr>
      <w:r>
        <w:t>La Intendencia no ha contratado póliza de seguro respecto de los funcionarios que manejan fondos o valores, incumpliendo con los Artículos 90 y 154 del TOCAF.</w:t>
      </w:r>
    </w:p>
    <w:p w:rsidR="00942338" w:rsidRDefault="00942338">
      <w:pPr>
        <w:pStyle w:val="Heading2"/>
      </w:pPr>
      <w:bookmarkStart w:id="86" w:name="_Toc182737714"/>
      <w:bookmarkStart w:id="87" w:name="_Toc242783611"/>
      <w:bookmarkStart w:id="88" w:name="_Toc275353533"/>
      <w:bookmarkStart w:id="89" w:name="_Toc373758951"/>
      <w:r>
        <w:t>3.3.16 Horas Extras</w:t>
      </w:r>
      <w:bookmarkEnd w:id="86"/>
      <w:bookmarkEnd w:id="87"/>
      <w:bookmarkEnd w:id="88"/>
      <w:bookmarkEnd w:id="89"/>
    </w:p>
    <w:p w:rsidR="00942338" w:rsidRDefault="00942338">
      <w:pPr>
        <w:spacing w:line="360" w:lineRule="auto"/>
      </w:pPr>
      <w:r>
        <w:t>Existen funcionarios que realizaron horas extras superando el tope establecido por el Convenio 30 de la OIT.</w:t>
      </w:r>
    </w:p>
    <w:p w:rsidR="00942338" w:rsidRDefault="00942338">
      <w:pPr>
        <w:pStyle w:val="Heading2"/>
      </w:pPr>
      <w:bookmarkStart w:id="90" w:name="_Toc242783612"/>
      <w:bookmarkStart w:id="91" w:name="_Toc275353534"/>
      <w:bookmarkStart w:id="92" w:name="_Toc373758952"/>
      <w:r>
        <w:t>3.3.17 Resolución del Tribunal de Cuentas de fecha 16/07/03</w:t>
      </w:r>
      <w:bookmarkEnd w:id="90"/>
      <w:bookmarkEnd w:id="91"/>
      <w:bookmarkEnd w:id="92"/>
    </w:p>
    <w:p w:rsidR="00942338" w:rsidRDefault="00942338">
      <w:pPr>
        <w:pStyle w:val="BodyText"/>
        <w:rPr>
          <w:lang w:val="es-MX"/>
        </w:rPr>
      </w:pPr>
      <w:r>
        <w:rPr>
          <w:lang w:val="es-MX"/>
        </w:rPr>
        <w:t>En el ejercicio 2012 la Intendencia realizó compensaciones de tributos de terceros con deudas por haberes.</w:t>
      </w:r>
    </w:p>
    <w:p w:rsidR="00942338" w:rsidRDefault="00942338">
      <w:pPr>
        <w:pStyle w:val="BodyText"/>
        <w:rPr>
          <w:lang w:val="es-MX"/>
        </w:rPr>
      </w:pPr>
      <w:r>
        <w:rPr>
          <w:lang w:val="es-MX"/>
        </w:rPr>
        <w:t>Por Resolución 2914/2005, la Intendencia autorizó la compensación de tributos propios del funcionario o debidos por el cónyuge, compañero/a en unión libre y familiares hasta el primer grado de consanguinidad.</w:t>
      </w:r>
    </w:p>
    <w:p w:rsidR="00942338" w:rsidRDefault="00942338">
      <w:pPr>
        <w:pStyle w:val="Heading2"/>
      </w:pPr>
      <w:bookmarkStart w:id="93" w:name="_Toc275353531"/>
      <w:bookmarkStart w:id="94" w:name="_Toc373758953"/>
      <w:r>
        <w:t>3.3.18 Artículo 128 del TOCAF y Resolución del Tribunal de Cuentas del 28/01/04.</w:t>
      </w:r>
      <w:bookmarkEnd w:id="93"/>
      <w:bookmarkEnd w:id="94"/>
      <w:r>
        <w:t xml:space="preserve"> </w:t>
      </w:r>
    </w:p>
    <w:p w:rsidR="00942338" w:rsidRDefault="00942338">
      <w:pPr>
        <w:pStyle w:val="BodyText"/>
        <w:rPr>
          <w:lang w:val="es-MX"/>
        </w:rPr>
      </w:pPr>
      <w:r>
        <w:t>En el documento presentado n</w:t>
      </w:r>
      <w:r>
        <w:rPr>
          <w:lang w:val="es-MX"/>
        </w:rPr>
        <w:t>o se incluye información respecto  al estado demostrativo del  grado de cumplimiento de los objetivos y metas programadas y las alcanzadas, ni el costo resultante.</w:t>
      </w:r>
    </w:p>
    <w:p w:rsidR="00942338" w:rsidRDefault="00942338">
      <w:pPr>
        <w:pStyle w:val="BodyText"/>
        <w:tabs>
          <w:tab w:val="left" w:pos="900"/>
        </w:tabs>
      </w:pPr>
      <w:r>
        <w:t xml:space="preserve">Tampoco se incluyeron las conciliaciones de saldos bancarios, detalle de cheques diferidos de terceros con identificación de los recursos que le dieron origen y copias de los convenios firmados. No se detallan los contratos de arrendamientos de obras y de servicios vigentes durante el ejercicio, las actividades comerciales e industriales realizadas por la Intendencia, con indicación de los objetos en los cuales se registran los ingresos y de los programas en el que están contabilizados los gastos respectivos. </w:t>
      </w:r>
    </w:p>
    <w:p w:rsidR="00942338" w:rsidRDefault="00942338">
      <w:pPr>
        <w:pStyle w:val="BodyText"/>
        <w:tabs>
          <w:tab w:val="left" w:pos="0"/>
        </w:tabs>
      </w:pPr>
      <w:r>
        <w:t>No se incluye además el Estado N° 5 que detalla los recursos de la Intendencia de origen nacional o departamental que están afectados a un destino específico, y aquellos no previstos en el Presupuesto que fueron recibidos con un destino especial.</w:t>
      </w:r>
    </w:p>
    <w:p w:rsidR="00942338" w:rsidRDefault="00942338">
      <w:pPr>
        <w:pStyle w:val="BodyText"/>
        <w:tabs>
          <w:tab w:val="left" w:pos="0"/>
        </w:tabs>
      </w:pPr>
      <w:r>
        <w:t>Tampoco se formuló el estado con el detalle de las Trasposiciones e Indexaciones del ejercicio.</w:t>
      </w:r>
    </w:p>
    <w:p w:rsidR="00942338" w:rsidRDefault="00942338">
      <w:pPr>
        <w:pStyle w:val="Heading2"/>
      </w:pPr>
      <w:bookmarkStart w:id="95" w:name="_Toc242783613"/>
      <w:bookmarkStart w:id="96" w:name="_Toc275353535"/>
      <w:bookmarkStart w:id="97" w:name="_Toc373758954"/>
      <w:r>
        <w:t>3.3.19 Resolución del Tribunal de Cuentas de fecha 11/05/05</w:t>
      </w:r>
      <w:bookmarkEnd w:id="95"/>
      <w:bookmarkEnd w:id="96"/>
      <w:bookmarkEnd w:id="97"/>
    </w:p>
    <w:p w:rsidR="00942338" w:rsidRDefault="00942338">
      <w:pPr>
        <w:pStyle w:val="BodyText"/>
      </w:pPr>
      <w:r>
        <w:t>No se ha dado cumplimiento a lo dispuesto por la citada resolución, con la redacción dada por la resolución de fecha 28/03/07, al no haberse remitido a este Cuerpo los informes semestrales producidos por las Comisiones de Control o por las Oficinas que tengan a su cargo la verificación del cumplimiento de los contratos de concesión.</w:t>
      </w:r>
    </w:p>
    <w:p w:rsidR="00942338" w:rsidRDefault="00942338">
      <w:pPr>
        <w:pStyle w:val="Heading2"/>
        <w:rPr>
          <w:lang w:eastAsia="ar-SA"/>
        </w:rPr>
      </w:pPr>
      <w:bookmarkStart w:id="98" w:name="_Toc373758955"/>
      <w:r>
        <w:rPr>
          <w:lang w:eastAsia="ar-SA"/>
        </w:rPr>
        <w:t>3.3.20 Caducidad de Convenios suscritos con deudores de la Intendencia de Rocha por incumplimiento en el pago de las cuotas</w:t>
      </w:r>
      <w:bookmarkEnd w:id="98"/>
    </w:p>
    <w:p w:rsidR="00942338" w:rsidRDefault="00942338">
      <w:pPr>
        <w:pStyle w:val="BodyText"/>
        <w:rPr>
          <w:lang w:eastAsia="ar-SA"/>
        </w:rPr>
      </w:pPr>
      <w:r>
        <w:rPr>
          <w:lang w:eastAsia="ar-SA"/>
        </w:rPr>
        <w:t>La Intendencia no cumple con los términos de caducidad dispuestos en los Convenios que se realizan con sus deudores habiéndose constatado atrasos. La anulación de los Convenios por incumplimiento no se efectiviza en forma regular ni sistemática.</w:t>
      </w:r>
    </w:p>
    <w:p w:rsidR="00942338" w:rsidRDefault="00942338">
      <w:pPr>
        <w:pStyle w:val="Heading2"/>
      </w:pPr>
      <w:bookmarkStart w:id="99" w:name="_Toc373758956"/>
      <w:r>
        <w:t>3.4.14 Debilidades de Control Interno</w:t>
      </w:r>
      <w:bookmarkEnd w:id="99"/>
      <w:r>
        <w:tab/>
      </w:r>
    </w:p>
    <w:p w:rsidR="00942338" w:rsidRDefault="00942338">
      <w:pPr>
        <w:pStyle w:val="Heading2"/>
      </w:pPr>
      <w:bookmarkStart w:id="100" w:name="_Toc373758957"/>
      <w:r>
        <w:t>3.1.14.1 Respecto a recursos o manejo de fondos</w:t>
      </w:r>
      <w:bookmarkEnd w:id="100"/>
    </w:p>
    <w:p w:rsidR="00942338" w:rsidRDefault="00942338">
      <w:pPr>
        <w:numPr>
          <w:ilvl w:val="0"/>
          <w:numId w:val="3"/>
        </w:numPr>
        <w:tabs>
          <w:tab w:val="left" w:pos="360"/>
        </w:tabs>
        <w:spacing w:after="0" w:line="360" w:lineRule="auto"/>
        <w:ind w:left="0" w:firstLine="0"/>
        <w:rPr>
          <w:lang w:val="es-MX"/>
        </w:rPr>
      </w:pPr>
      <w:r>
        <w:rPr>
          <w:lang w:val="es-MX"/>
        </w:rPr>
        <w:t>No existe un procedimiento por escrito para el manejo de fondos y valores.</w:t>
      </w:r>
    </w:p>
    <w:p w:rsidR="00942338" w:rsidRDefault="00942338">
      <w:pPr>
        <w:numPr>
          <w:ilvl w:val="0"/>
          <w:numId w:val="3"/>
        </w:numPr>
        <w:tabs>
          <w:tab w:val="left" w:pos="360"/>
        </w:tabs>
        <w:spacing w:after="0" w:line="360" w:lineRule="auto"/>
        <w:ind w:left="0" w:firstLine="0"/>
        <w:rPr>
          <w:lang w:val="es-MX"/>
        </w:rPr>
      </w:pPr>
      <w:r>
        <w:rPr>
          <w:lang w:val="es-MX"/>
        </w:rPr>
        <w:t>La Tesorería realiza registraciones contables, conciliaciones bancarias y los ajustes correspondientes, no existiendo la debida separación de funciones entre quien custodia los fondos y quien los controla.</w:t>
      </w:r>
    </w:p>
    <w:p w:rsidR="00942338" w:rsidRDefault="00942338">
      <w:pPr>
        <w:pStyle w:val="BodyTextIndent3"/>
        <w:numPr>
          <w:ilvl w:val="0"/>
          <w:numId w:val="3"/>
        </w:numPr>
        <w:tabs>
          <w:tab w:val="left" w:pos="360"/>
        </w:tabs>
        <w:spacing w:line="360" w:lineRule="auto"/>
        <w:ind w:left="0" w:firstLine="0"/>
        <w:rPr>
          <w:b/>
          <w:bCs/>
        </w:rPr>
      </w:pPr>
      <w:r>
        <w:t>En el ejercicio 2012 si bien se han realizados los arqueos periódicamente fundamentalmente en la Tesorería, los mismos presentan diferencias no aclaradas. En los Municipios y Juntas Locales los mismos son realizados mensualmente por funcionarios de las propias oficinas y en forma esporádica por la Oficina de Inspecciones Contables.</w:t>
      </w:r>
    </w:p>
    <w:p w:rsidR="00942338" w:rsidRDefault="00942338">
      <w:pPr>
        <w:pStyle w:val="BodyText"/>
        <w:numPr>
          <w:ilvl w:val="0"/>
          <w:numId w:val="3"/>
        </w:numPr>
        <w:ind w:left="0" w:firstLine="0"/>
      </w:pPr>
      <w:r>
        <w:rPr>
          <w:lang w:val="es-MX"/>
        </w:rPr>
        <w:t>Los arqueos de fondos y valores que se han realizado por parte del Tribunal en la Tesorería Departamental desde el ejercicio 2009 hasta la fecha han presentado diferencias, las cuales no han sido aclaradas. Dichos arqueos fueron realizados en las fechas 02/01/09, 01/07/09, 03/11/09, 04/01/10, 11/01/11 , 11/04/12 y 31/12/12 , ascendiendo las diferencias a  $ 768.803, $ 78.488, $ 98.950 , $ 108.813 , 11.340 , 422.233  y 36.493, respectivamente</w:t>
      </w:r>
      <w:r>
        <w:t>.</w:t>
      </w:r>
    </w:p>
    <w:p w:rsidR="00942338" w:rsidRDefault="00942338">
      <w:pPr>
        <w:pStyle w:val="BodyTextIndent3"/>
        <w:numPr>
          <w:ilvl w:val="0"/>
          <w:numId w:val="3"/>
        </w:numPr>
        <w:tabs>
          <w:tab w:val="left" w:pos="360"/>
        </w:tabs>
        <w:spacing w:line="360" w:lineRule="auto"/>
        <w:ind w:left="0" w:firstLine="0"/>
      </w:pPr>
      <w:r>
        <w:t>Se constataron atrasos en la confección de las conciliaciones bancarias por parte de la Tesorería y los movimientos bancarios se contabilizan a posteriori de acuerdo a la fecha en que se encuentra acreditado o debitado en el estado de cuenta bancario, lo que ocasiona dificultad en la confección de las mismas al verse modificados los saldos conciliados.</w:t>
      </w:r>
    </w:p>
    <w:p w:rsidR="00942338" w:rsidRDefault="00942338">
      <w:pPr>
        <w:numPr>
          <w:ilvl w:val="0"/>
          <w:numId w:val="3"/>
        </w:numPr>
        <w:tabs>
          <w:tab w:val="left" w:pos="360"/>
        </w:tabs>
        <w:spacing w:after="0" w:line="360" w:lineRule="auto"/>
        <w:ind w:left="0" w:firstLine="0"/>
        <w:rPr>
          <w:lang w:val="es-MX"/>
        </w:rPr>
      </w:pPr>
      <w:r>
        <w:rPr>
          <w:lang w:val="es-MX"/>
        </w:rPr>
        <w:t>En los Municipios y Juntas Locales no se registran en el sistema contable la totalidad de los movimientos de las cuentas de Caja y Banco. Los arqueos son realizados considerando los saldos de los libros de caja y banco llevados en cada tesorería, no con los saldos contables.</w:t>
      </w:r>
    </w:p>
    <w:p w:rsidR="00942338" w:rsidRDefault="00942338">
      <w:pPr>
        <w:numPr>
          <w:ilvl w:val="0"/>
          <w:numId w:val="3"/>
        </w:numPr>
        <w:tabs>
          <w:tab w:val="left" w:pos="360"/>
        </w:tabs>
        <w:spacing w:after="0" w:line="360" w:lineRule="auto"/>
        <w:ind w:left="0" w:firstLine="0"/>
        <w:rPr>
          <w:lang w:val="es-MX"/>
        </w:rPr>
      </w:pPr>
      <w:r>
        <w:rPr>
          <w:lang w:val="es-MX"/>
        </w:rPr>
        <w:t>Los Municipios trabajan con montos establecidos como “Fondos Permanentes” que no han sido dispuestos por resolución de la Intendencia, procediéndose a ingresarlos en el sistema contable. Dichos montos se reponen mensualmente, independientemente del importe asignado. La Ley N° 18.567 determinó un nuevo régimen para la descentralización en materia departamental y local, no estableciéndose limitación alguna a la forma de utilización de los recursos para la financiación de su gestión, excepto que encuadre en los cometidos de los Municipios y, en su caso, en lo establecido en los presupuestos departamentales.</w:t>
      </w:r>
    </w:p>
    <w:p w:rsidR="00942338" w:rsidRDefault="00942338">
      <w:pPr>
        <w:numPr>
          <w:ilvl w:val="0"/>
          <w:numId w:val="3"/>
        </w:numPr>
        <w:tabs>
          <w:tab w:val="left" w:pos="360"/>
        </w:tabs>
        <w:spacing w:after="0" w:line="360" w:lineRule="auto"/>
        <w:ind w:left="0" w:firstLine="0"/>
        <w:rPr>
          <w:lang w:val="es-MX"/>
        </w:rPr>
      </w:pPr>
      <w:r>
        <w:rPr>
          <w:lang w:val="es-MX"/>
        </w:rPr>
        <w:t>La Contaduría de la Intendencia no controla en todos los casos la correlatividad numérica de los recibos de ingresos y tampoco se analiza si los  conceptos recaudados se realizan de acuerdo  a  la normativa vigente.</w:t>
      </w:r>
    </w:p>
    <w:p w:rsidR="00942338" w:rsidRDefault="00942338">
      <w:pPr>
        <w:numPr>
          <w:ilvl w:val="0"/>
          <w:numId w:val="3"/>
        </w:numPr>
        <w:tabs>
          <w:tab w:val="left" w:pos="360"/>
        </w:tabs>
        <w:spacing w:after="0" w:line="360" w:lineRule="auto"/>
        <w:ind w:left="0" w:firstLine="0"/>
        <w:rPr>
          <w:lang w:val="es-MX"/>
        </w:rPr>
      </w:pPr>
      <w:r>
        <w:rPr>
          <w:lang w:val="es-MX"/>
        </w:rPr>
        <w:t>No existe un adecuado control de los recibos anulados ni se realiza un seguimiento de los motivos de su anulación. Los recibos se emiten por triplicado  y los anulados no son archivados con todas las vías. El original y duplicado se archivan en Contaduría y el triplicado en los respectivos Municipios y Juntas Locales.</w:t>
      </w:r>
    </w:p>
    <w:p w:rsidR="00942338" w:rsidRDefault="00942338">
      <w:pPr>
        <w:numPr>
          <w:ilvl w:val="0"/>
          <w:numId w:val="3"/>
        </w:numPr>
        <w:tabs>
          <w:tab w:val="left" w:pos="360"/>
        </w:tabs>
        <w:spacing w:after="0" w:line="360" w:lineRule="auto"/>
        <w:ind w:left="0" w:firstLine="0"/>
        <w:rPr>
          <w:lang w:val="es-MX"/>
        </w:rPr>
      </w:pPr>
      <w:r>
        <w:rPr>
          <w:lang w:val="es-MX"/>
        </w:rPr>
        <w:t>Para realizar la anulación de un recibo se emite un nuevo formulario con el mismo número de recibo y con la leyenda de anulación, no quedando anulado el formulario original.</w:t>
      </w:r>
    </w:p>
    <w:p w:rsidR="00942338" w:rsidRDefault="00942338">
      <w:pPr>
        <w:numPr>
          <w:ilvl w:val="0"/>
          <w:numId w:val="3"/>
        </w:numPr>
        <w:tabs>
          <w:tab w:val="left" w:pos="360"/>
        </w:tabs>
        <w:spacing w:after="0" w:line="360" w:lineRule="auto"/>
        <w:ind w:left="0" w:firstLine="0"/>
        <w:rPr>
          <w:lang w:val="es-MX"/>
        </w:rPr>
      </w:pPr>
      <w:r>
        <w:rPr>
          <w:lang w:val="es-MX"/>
        </w:rPr>
        <w:t xml:space="preserve">No se controlan en los diarios de recaudación los saldos a favor ingresados en la cuenta corriente de cada padrón. Tampoco se adjunta a dichos listados documentación respaldante de esas operaciones. </w:t>
      </w:r>
    </w:p>
    <w:p w:rsidR="00942338" w:rsidRDefault="00942338">
      <w:pPr>
        <w:numPr>
          <w:ilvl w:val="0"/>
          <w:numId w:val="3"/>
        </w:numPr>
        <w:tabs>
          <w:tab w:val="left" w:pos="360"/>
        </w:tabs>
        <w:spacing w:after="0" w:line="360" w:lineRule="auto"/>
        <w:ind w:left="0" w:firstLine="0"/>
        <w:rPr>
          <w:lang w:val="es-MX"/>
        </w:rPr>
      </w:pPr>
      <w:r>
        <w:rPr>
          <w:lang w:val="es-MX"/>
        </w:rPr>
        <w:t>El sistema informático permite cambiar la fecha valor de los recibos de cobranza de manera de no cobrar multas y recargos. Esta operación la realiza directamente el Cajero con autorización del Tesorero, no habiendo más controles sobre este procedimiento.</w:t>
      </w:r>
    </w:p>
    <w:p w:rsidR="00942338" w:rsidRDefault="00942338">
      <w:pPr>
        <w:pStyle w:val="Nombredireccin"/>
        <w:numPr>
          <w:ilvl w:val="0"/>
          <w:numId w:val="3"/>
        </w:numPr>
        <w:spacing w:before="0" w:line="360" w:lineRule="auto"/>
        <w:ind w:left="0" w:firstLine="0"/>
        <w:rPr>
          <w:kern w:val="0"/>
          <w:lang w:val="es-MX"/>
        </w:rPr>
      </w:pPr>
      <w:r>
        <w:rPr>
          <w:kern w:val="0"/>
          <w:lang w:val="es-MX"/>
        </w:rPr>
        <w:t>No existe un procedimiento de control de los convenios celebrados entre la Intendencia y los contribuyentes, por concepto de deuda de tributos municipales. Estos se realizan con atrasos  y no existe oposición de intereses, ya que en los casos puntuales que se efectúan se realizan por funcionarios que intervienen en el procedimiento de otorgamiento de los convenios.</w:t>
      </w:r>
    </w:p>
    <w:p w:rsidR="00942338" w:rsidRDefault="00942338">
      <w:pPr>
        <w:pStyle w:val="Header"/>
        <w:numPr>
          <w:ilvl w:val="0"/>
          <w:numId w:val="3"/>
        </w:numPr>
        <w:tabs>
          <w:tab w:val="clear" w:pos="4419"/>
          <w:tab w:val="clear" w:pos="8838"/>
        </w:tabs>
        <w:spacing w:line="360" w:lineRule="auto"/>
        <w:ind w:left="0" w:firstLine="0"/>
        <w:rPr>
          <w:lang w:val="es-MX"/>
        </w:rPr>
      </w:pPr>
      <w:r>
        <w:rPr>
          <w:lang w:val="es-MX"/>
        </w:rPr>
        <w:t>No se ha implementado un adecuado procedimiento para determinar los convenios de tributos que han caducado, realizándose actualmente el mantenimiento manualmente. Se constataron convenios que siguen vigentes aunque reúnan las condiciones para ser caducados.</w:t>
      </w:r>
    </w:p>
    <w:p w:rsidR="00942338" w:rsidRDefault="00942338">
      <w:pPr>
        <w:pStyle w:val="Heading2"/>
      </w:pPr>
      <w:bookmarkStart w:id="101" w:name="_Toc373758958"/>
      <w:r>
        <w:t>3.1.14.2 Respecto a retribuciones personales</w:t>
      </w:r>
      <w:bookmarkEnd w:id="101"/>
    </w:p>
    <w:p w:rsidR="00942338" w:rsidRDefault="00942338">
      <w:pPr>
        <w:numPr>
          <w:ilvl w:val="0"/>
          <w:numId w:val="3"/>
        </w:numPr>
        <w:tabs>
          <w:tab w:val="left" w:pos="360"/>
        </w:tabs>
        <w:spacing w:after="0" w:line="360" w:lineRule="auto"/>
        <w:ind w:left="0" w:firstLine="0"/>
        <w:rPr>
          <w:lang w:val="es-MX"/>
        </w:rPr>
      </w:pPr>
      <w:r>
        <w:rPr>
          <w:lang w:val="es-MX"/>
        </w:rPr>
        <w:t>No existe un procedimiento por escrito de las diferentes etapas de liquidación mensual  de sueldos y del posterior control de las mismas, ya sea realizado por parte de la Dirección de Recursos Humanos o de la Dirección de Hacienda.</w:t>
      </w:r>
    </w:p>
    <w:p w:rsidR="00942338" w:rsidRDefault="00942338">
      <w:pPr>
        <w:numPr>
          <w:ilvl w:val="0"/>
          <w:numId w:val="3"/>
        </w:numPr>
        <w:tabs>
          <w:tab w:val="left" w:pos="360"/>
        </w:tabs>
        <w:spacing w:after="0" w:line="360" w:lineRule="auto"/>
        <w:ind w:left="0" w:firstLine="0"/>
        <w:rPr>
          <w:lang w:val="es-MX"/>
        </w:rPr>
      </w:pPr>
      <w:r>
        <w:rPr>
          <w:lang w:val="es-MX"/>
        </w:rPr>
        <w:t>Se detectó  en un muestreo que existen funcionarios que comienzan a prestar servicios sin contar con la designación correspondiente. Las resoluciones de designación de personal son posteriores a la fecha de la contratación.</w:t>
      </w:r>
    </w:p>
    <w:p w:rsidR="00942338" w:rsidRDefault="00942338">
      <w:pPr>
        <w:numPr>
          <w:ilvl w:val="0"/>
          <w:numId w:val="3"/>
        </w:numPr>
        <w:tabs>
          <w:tab w:val="left" w:pos="360"/>
        </w:tabs>
        <w:spacing w:after="0" w:line="360" w:lineRule="auto"/>
        <w:ind w:left="0" w:firstLine="0"/>
        <w:rPr>
          <w:lang w:val="es-MX"/>
        </w:rPr>
      </w:pPr>
      <w:r>
        <w:rPr>
          <w:lang w:val="es-MX"/>
        </w:rPr>
        <w:t>Existen funcionarios con contratos vencidos que siguen prestando servicios. Las resoluciones de prórroga de contrato se realizan  con fecha posterior al vencimiento.</w:t>
      </w:r>
    </w:p>
    <w:p w:rsidR="00942338" w:rsidRDefault="00942338">
      <w:pPr>
        <w:numPr>
          <w:ilvl w:val="0"/>
          <w:numId w:val="3"/>
        </w:numPr>
        <w:tabs>
          <w:tab w:val="left" w:pos="360"/>
        </w:tabs>
        <w:spacing w:after="0" w:line="360" w:lineRule="auto"/>
        <w:ind w:left="0" w:firstLine="0"/>
        <w:rPr>
          <w:lang w:val="es-MX"/>
        </w:rPr>
      </w:pPr>
      <w:r>
        <w:rPr>
          <w:lang w:val="es-MX"/>
        </w:rPr>
        <w:t>Los controles que se efectúan sobre las liquidaciones de sueldos resul</w:t>
      </w:r>
      <w:r>
        <w:rPr>
          <w:lang w:val="es-MX"/>
        </w:rPr>
        <w:softHyphen/>
        <w:t>tan insuficientes dado que se constataron errores en las mismas con posterioridad al pago, habiéndose abonado partidas que no correspondían o que no se ajustaban con la normativa vigente.</w:t>
      </w:r>
    </w:p>
    <w:p w:rsidR="00942338" w:rsidRDefault="00942338">
      <w:pPr>
        <w:numPr>
          <w:ilvl w:val="0"/>
          <w:numId w:val="3"/>
        </w:numPr>
        <w:tabs>
          <w:tab w:val="left" w:pos="360"/>
        </w:tabs>
        <w:spacing w:after="0" w:line="360" w:lineRule="auto"/>
        <w:ind w:left="0" w:firstLine="0"/>
        <w:rPr>
          <w:lang w:val="es-MX"/>
        </w:rPr>
      </w:pPr>
      <w:r>
        <w:rPr>
          <w:lang w:val="es-MX"/>
        </w:rPr>
        <w:t>Se constató el pago a funcionarios de compensaciones por dedicación a tiempo completo y el p</w:t>
      </w:r>
      <w:r>
        <w:t>ago de horas extras, retribuyéndole así al funcionario por dos vías diferente el mismo concepto.</w:t>
      </w:r>
    </w:p>
    <w:p w:rsidR="00942338" w:rsidRDefault="00942338">
      <w:pPr>
        <w:numPr>
          <w:ilvl w:val="0"/>
          <w:numId w:val="3"/>
        </w:numPr>
        <w:tabs>
          <w:tab w:val="left" w:pos="360"/>
        </w:tabs>
        <w:spacing w:after="0" w:line="360" w:lineRule="auto"/>
        <w:ind w:left="0" w:firstLine="0"/>
        <w:rPr>
          <w:lang w:val="es-MX"/>
        </w:rPr>
      </w:pPr>
      <w:r>
        <w:rPr>
          <w:lang w:val="es-MX"/>
        </w:rPr>
        <w:t>Se mantienen descuentos no retenidos a los funcionarios por $ 1:307.432 al mes de Diciembre de 2012 y existen algunos conceptos que no son reingresados para su descuento por ejemplo ANDA, Cash, Cooperativa Policial, etc.</w:t>
      </w:r>
    </w:p>
    <w:p w:rsidR="00942338" w:rsidRDefault="00942338">
      <w:pPr>
        <w:numPr>
          <w:ilvl w:val="0"/>
          <w:numId w:val="3"/>
        </w:numPr>
        <w:tabs>
          <w:tab w:val="left" w:pos="360"/>
        </w:tabs>
        <w:spacing w:after="0" w:line="360" w:lineRule="auto"/>
        <w:ind w:left="0" w:firstLine="0"/>
        <w:rPr>
          <w:lang w:val="es-MX"/>
        </w:rPr>
      </w:pPr>
      <w:r>
        <w:rPr>
          <w:lang w:val="es-MX"/>
        </w:rPr>
        <w:t>El sistema de registro de asistencia presenta fallas de control interno al no estar informatizada la asistencia de la totalidad de los funcionarios. A su vez, existen funcionarios que están autorizados a no realizar registros y cuya asistencia es autorizada por el Ejecutivo.</w:t>
      </w:r>
    </w:p>
    <w:p w:rsidR="00942338" w:rsidRDefault="00942338">
      <w:pPr>
        <w:numPr>
          <w:ilvl w:val="0"/>
          <w:numId w:val="3"/>
        </w:numPr>
        <w:tabs>
          <w:tab w:val="left" w:pos="360"/>
        </w:tabs>
        <w:spacing w:after="0" w:line="360" w:lineRule="auto"/>
        <w:ind w:left="0" w:firstLine="0"/>
        <w:rPr>
          <w:lang w:val="es-MX"/>
        </w:rPr>
      </w:pPr>
      <w:r>
        <w:rPr>
          <w:lang w:val="es-MX"/>
        </w:rPr>
        <w:t>No existe un procedimiento de registración contable que permita determinar el saldo de la cuenta “Sueldos a Pagar” a una fecha determinada. Tampoco existe un adecuado control de los saldos contables de las cuentas de indisponibles correspondientes a retenciones de sueldos efectuadas a los funcionarios, habiéndose constatado errores en la registración contable del importe retenido por concepto de Montepío e IRPF.</w:t>
      </w:r>
    </w:p>
    <w:p w:rsidR="00942338" w:rsidRDefault="00942338">
      <w:pPr>
        <w:numPr>
          <w:ilvl w:val="0"/>
          <w:numId w:val="3"/>
        </w:numPr>
        <w:tabs>
          <w:tab w:val="left" w:pos="360"/>
        </w:tabs>
        <w:spacing w:after="0" w:line="360" w:lineRule="auto"/>
        <w:ind w:left="0" w:firstLine="0"/>
        <w:rPr>
          <w:lang w:val="es-MX"/>
        </w:rPr>
      </w:pPr>
      <w:r>
        <w:rPr>
          <w:lang w:val="es-MX"/>
        </w:rPr>
        <w:t xml:space="preserve">Del análisis del  monto retenido por estos conceptos de Montepío e IRPF en el período 2009-2012, se detectaron diferencias con los montos vertidos al BPS y a la DGI: en el ejercicio  2009 el  monto retenido a los funcionarios fue superior en $ 1:565.511 a los aportes realizados, en el ejercicio 2010 el monto retenido fue inferior en $ 1:163.779 , en el ejercicio 2011 el  monto retenido fue superior en $ 592.361 y en el ejercicio 2012  el monto retenido fue inferior en   $ 1:900.527  a lo efectivamente aportado por la Intendencia. </w:t>
      </w:r>
    </w:p>
    <w:p w:rsidR="00942338" w:rsidRDefault="00942338">
      <w:pPr>
        <w:pStyle w:val="Nombredireccin"/>
        <w:numPr>
          <w:ilvl w:val="0"/>
          <w:numId w:val="3"/>
        </w:numPr>
        <w:tabs>
          <w:tab w:val="left" w:pos="360"/>
        </w:tabs>
        <w:spacing w:before="0" w:line="360" w:lineRule="auto"/>
        <w:ind w:left="0" w:firstLine="0"/>
        <w:rPr>
          <w:kern w:val="0"/>
          <w:lang w:val="es-MX"/>
        </w:rPr>
      </w:pPr>
      <w:r>
        <w:rPr>
          <w:kern w:val="0"/>
          <w:lang w:val="es-MX"/>
        </w:rPr>
        <w:t>No se realiza un adecuado mantenimiento de los usuarios con permisos al sistema informático de sueldos, existiendo personas que ya no desempeñan tareas relacionadas y mantienen dichos permisos. Además se constataron funcionarios con mas de un usuario en el sistema.</w:t>
      </w:r>
    </w:p>
    <w:p w:rsidR="00942338" w:rsidRDefault="00942338">
      <w:pPr>
        <w:pStyle w:val="Heading2"/>
      </w:pPr>
      <w:bookmarkStart w:id="102" w:name="_Toc373758959"/>
      <w:r>
        <w:t>3.1.14.3 Respecto al sistema de compras</w:t>
      </w:r>
      <w:bookmarkEnd w:id="102"/>
    </w:p>
    <w:p w:rsidR="00942338" w:rsidRDefault="00942338">
      <w:pPr>
        <w:numPr>
          <w:ilvl w:val="0"/>
          <w:numId w:val="3"/>
        </w:numPr>
        <w:tabs>
          <w:tab w:val="left" w:pos="360"/>
        </w:tabs>
        <w:spacing w:after="0" w:line="360" w:lineRule="auto"/>
        <w:ind w:left="0" w:firstLine="0"/>
        <w:rPr>
          <w:lang w:val="es-MX"/>
        </w:rPr>
      </w:pPr>
      <w:r>
        <w:rPr>
          <w:lang w:val="es-MX"/>
        </w:rPr>
        <w:t xml:space="preserve">No existe un manual de procedimientos en el área de compras. </w:t>
      </w:r>
    </w:p>
    <w:p w:rsidR="00942338" w:rsidRDefault="00942338">
      <w:pPr>
        <w:pStyle w:val="Nombredireccin"/>
        <w:numPr>
          <w:ilvl w:val="0"/>
          <w:numId w:val="3"/>
        </w:numPr>
        <w:tabs>
          <w:tab w:val="left" w:pos="360"/>
        </w:tabs>
        <w:spacing w:before="0" w:line="360" w:lineRule="auto"/>
        <w:ind w:left="0" w:firstLine="0"/>
        <w:rPr>
          <w:kern w:val="0"/>
          <w:lang w:val="es-MX"/>
        </w:rPr>
      </w:pPr>
      <w:r>
        <w:rPr>
          <w:kern w:val="0"/>
          <w:lang w:val="es-MX"/>
        </w:rPr>
        <w:t>Se realizan compras con fondos a rendir cuentas no verificándose previamente la existencia de crédito presupuestal ni el cumplimiento de las disposiciones legales en materia de contratación.</w:t>
      </w:r>
    </w:p>
    <w:p w:rsidR="00942338" w:rsidRDefault="00942338">
      <w:pPr>
        <w:pStyle w:val="BodyText"/>
      </w:pPr>
      <w:r>
        <w:rPr>
          <w:lang w:val="es-MX"/>
        </w:rPr>
        <w:t>No se cuenta con un registro actualizado de las garantías por licitaciones,  donde consten las altas, monto, fecha de vencimiento,  y devoluciones u observaciones que pudieran corresponder, como forma de llevar un contralor de las mismas. Además se constató la existencia de garantías retenidas, pertenecientes a procedimientos que ya se ejecutaron y que, a la fecha, no se ha procedido a su devolución.</w:t>
      </w:r>
    </w:p>
    <w:p w:rsidR="00942338" w:rsidRDefault="00942338">
      <w:pPr>
        <w:pStyle w:val="Heading2"/>
        <w:spacing w:before="0" w:after="0"/>
      </w:pPr>
      <w:bookmarkStart w:id="103" w:name="_Toc242686376"/>
      <w:bookmarkStart w:id="104" w:name="_Toc275353536"/>
      <w:bookmarkStart w:id="105" w:name="_Toc373758960"/>
      <w:r>
        <w:t>3.4 Recomendaciones</w:t>
      </w:r>
      <w:bookmarkEnd w:id="103"/>
      <w:bookmarkEnd w:id="104"/>
      <w:bookmarkEnd w:id="105"/>
      <w:r>
        <w:t xml:space="preserve">  </w:t>
      </w:r>
      <w:bookmarkStart w:id="106" w:name="_Toc242686377"/>
      <w:bookmarkStart w:id="107" w:name="_Toc275353537"/>
    </w:p>
    <w:p w:rsidR="00942338" w:rsidRDefault="00942338">
      <w:pPr>
        <w:pStyle w:val="Heading2"/>
        <w:spacing w:before="0" w:after="0"/>
      </w:pPr>
      <w:bookmarkStart w:id="108" w:name="_Toc242686378"/>
      <w:bookmarkStart w:id="109" w:name="_Toc275353538"/>
      <w:bookmarkStart w:id="110" w:name="_Toc373758961"/>
      <w:bookmarkEnd w:id="106"/>
      <w:bookmarkEnd w:id="107"/>
      <w:r>
        <w:t>3.4.1 Recomendaciones del ejercicio anterior no cumplidas</w:t>
      </w:r>
      <w:bookmarkEnd w:id="108"/>
      <w:bookmarkEnd w:id="109"/>
      <w:bookmarkEnd w:id="110"/>
    </w:p>
    <w:p w:rsidR="00942338" w:rsidRDefault="00942338">
      <w:pPr>
        <w:pStyle w:val="BodyText"/>
      </w:pPr>
      <w:r>
        <w:t>La Intendencia no cumplió las siguientes recomendaciones efectuadas en el ejercicio anterior:</w:t>
      </w:r>
    </w:p>
    <w:p w:rsidR="00942338" w:rsidRDefault="00942338">
      <w:pPr>
        <w:pStyle w:val="Heading2"/>
        <w:spacing w:before="0" w:after="0"/>
      </w:pPr>
      <w:bookmarkStart w:id="111" w:name="_Toc242686393"/>
      <w:bookmarkStart w:id="112" w:name="_Toc275353553"/>
      <w:bookmarkStart w:id="113" w:name="_Toc280610092"/>
      <w:bookmarkStart w:id="114" w:name="_Toc373758962"/>
      <w:r>
        <w:t>3.4.1.1 Diferencias en las cuentas de Caja y Banco entre los registros contables y los saldos incluidos en la Rendición de Cuentas.</w:t>
      </w:r>
      <w:bookmarkEnd w:id="111"/>
      <w:bookmarkEnd w:id="112"/>
      <w:bookmarkEnd w:id="113"/>
      <w:bookmarkEnd w:id="114"/>
      <w:r>
        <w:t xml:space="preserve"> </w:t>
      </w:r>
    </w:p>
    <w:p w:rsidR="00942338" w:rsidRDefault="00942338">
      <w:pPr>
        <w:spacing w:after="0" w:line="360" w:lineRule="auto"/>
      </w:pPr>
      <w:r>
        <w:rPr>
          <w:lang w:val="es-MX"/>
        </w:rPr>
        <w:t xml:space="preserve">La Intendencia deberá establecer los procedimientos para que las registraciones que afectan los saldos de las cuentas del ejercicio, se realicen con anterioridad a la fecha de confección de los Estados que componen la Rendición de Cuentas,  de manera </w:t>
      </w:r>
      <w:r>
        <w:t>que no se produzcan variaciones de saldos luego del cierre de ejercicio.</w:t>
      </w:r>
    </w:p>
    <w:p w:rsidR="00942338" w:rsidRDefault="00942338">
      <w:pPr>
        <w:pStyle w:val="Heading2"/>
      </w:pPr>
      <w:bookmarkStart w:id="115" w:name="_Toc275353566"/>
      <w:bookmarkStart w:id="116" w:name="_Toc373758963"/>
      <w:r>
        <w:t>3.4.1.2  Diferencias contables con el cuadro de “Ejecución Presupuestal”</w:t>
      </w:r>
      <w:bookmarkEnd w:id="115"/>
      <w:bookmarkEnd w:id="116"/>
    </w:p>
    <w:p w:rsidR="00942338" w:rsidRDefault="00942338">
      <w:pPr>
        <w:spacing w:line="360" w:lineRule="auto"/>
        <w:rPr>
          <w:lang w:val="es-MX"/>
        </w:rPr>
      </w:pPr>
      <w:r>
        <w:rPr>
          <w:lang w:val="es-MX"/>
        </w:rPr>
        <w:t>La información que se expone en el cuadro de “Ejecución Presupuestal” debe de ser el reflejo de los registros del sistema contable presupuestal de la Intendencia y ajustarse a las normas legales vigentes.</w:t>
      </w:r>
    </w:p>
    <w:p w:rsidR="00942338" w:rsidRDefault="00942338">
      <w:pPr>
        <w:pStyle w:val="Heading2"/>
      </w:pPr>
      <w:bookmarkStart w:id="117" w:name="_Toc373758964"/>
      <w:r>
        <w:t>3.4.1.3 Diferencias en los saldos contables de las Obligaciones Presupuestales Impagas e Indisponibles y los presentados en el documento de Rendición de Cuentas.</w:t>
      </w:r>
      <w:bookmarkEnd w:id="117"/>
    </w:p>
    <w:p w:rsidR="00942338" w:rsidRDefault="00942338">
      <w:pPr>
        <w:pStyle w:val="BodyText"/>
        <w:rPr>
          <w:lang w:val="es-MX"/>
        </w:rPr>
      </w:pPr>
      <w:r>
        <w:rPr>
          <w:lang w:val="es-MX"/>
        </w:rPr>
        <w:t>La Intendencia deberá expresar  el saldo de las cuentas en moneda extranjera al tipo de cambio de cierre.</w:t>
      </w:r>
    </w:p>
    <w:p w:rsidR="00942338" w:rsidRDefault="00942338">
      <w:pPr>
        <w:pStyle w:val="BodyText"/>
        <w:rPr>
          <w:lang w:val="es-MX"/>
        </w:rPr>
      </w:pPr>
      <w:r>
        <w:rPr>
          <w:lang w:val="es-MX"/>
        </w:rPr>
        <w:t>Se debe de prever que el sistema informático contable refleje en una cuenta auxiliar el saldo de los sueldos a pagar al cierre de ejercicio.</w:t>
      </w:r>
    </w:p>
    <w:p w:rsidR="00942338" w:rsidRDefault="00942338">
      <w:pPr>
        <w:spacing w:line="360" w:lineRule="auto"/>
        <w:rPr>
          <w:lang w:val="es-MX"/>
        </w:rPr>
      </w:pPr>
      <w:r>
        <w:rPr>
          <w:lang w:val="es-MX"/>
        </w:rPr>
        <w:t>Además deberá continuar realizando pruebas sobre los listados de saldos de proveedores del sistema contable de manera de controlar que el sistema incluya en dichos saldos, todas las operaciones realizadas a una determinada fecha, asegurando así la veracidad de la información expuesta.</w:t>
      </w:r>
    </w:p>
    <w:p w:rsidR="00942338" w:rsidRDefault="00942338">
      <w:pPr>
        <w:spacing w:line="360" w:lineRule="auto"/>
      </w:pPr>
      <w:r>
        <w:rPr>
          <w:lang w:val="es-MX"/>
        </w:rPr>
        <w:t>Con respecto a los saldos de las cuentas de indisponibles la Intendencia deberá realizar el análisis de las diferencias de manera de determinar el motivo de las mismas, e implementar en caso de ser necesarios los mecanismos para que dichas cuentas reflejen la totalidad de los movimientos realizados en el ejercicio.</w:t>
      </w:r>
    </w:p>
    <w:p w:rsidR="00942338" w:rsidRDefault="00942338">
      <w:pPr>
        <w:pStyle w:val="Heading2"/>
      </w:pPr>
      <w:bookmarkStart w:id="118" w:name="_Toc275353567"/>
      <w:bookmarkStart w:id="119" w:name="_Toc373758965"/>
      <w:r>
        <w:t>3.4.1.4 Fondos de terceros considerados como recursos del ejercicio</w:t>
      </w:r>
      <w:bookmarkEnd w:id="118"/>
      <w:bookmarkEnd w:id="119"/>
    </w:p>
    <w:p w:rsidR="00942338" w:rsidRDefault="00942338">
      <w:pPr>
        <w:pStyle w:val="BodyText"/>
        <w:rPr>
          <w:lang w:val="es-MX"/>
        </w:rPr>
      </w:pPr>
      <w:r>
        <w:rPr>
          <w:lang w:val="es-MX"/>
        </w:rPr>
        <w:t>Deberán implementarse los procedimientos contables para que las retenciones efectuadas a terceros integren los saldos de las cuentas de indisponibles respectivas.</w:t>
      </w:r>
    </w:p>
    <w:p w:rsidR="00942338" w:rsidRDefault="00942338">
      <w:pPr>
        <w:pStyle w:val="BodyText"/>
        <w:rPr>
          <w:lang w:val="es-MX"/>
        </w:rPr>
      </w:pPr>
      <w:r>
        <w:rPr>
          <w:lang w:val="es-MX"/>
        </w:rPr>
        <w:t>Además, la Intendencia deberá adaptar el clasificador de recursos de manera que se ajuste a lo establecido en la Ordenanza 84 de este Tribunal.</w:t>
      </w:r>
    </w:p>
    <w:p w:rsidR="00942338" w:rsidRDefault="00942338">
      <w:pPr>
        <w:pStyle w:val="Heading2"/>
      </w:pPr>
      <w:bookmarkStart w:id="120" w:name="_Toc242686396"/>
      <w:bookmarkStart w:id="121" w:name="_Toc275353556"/>
      <w:bookmarkStart w:id="122" w:name="_Toc373758966"/>
      <w:r>
        <w:t>3.4.1.5 Recaudaciones efectuadas con Documentos a Cobrar</w:t>
      </w:r>
      <w:bookmarkEnd w:id="120"/>
      <w:bookmarkEnd w:id="121"/>
      <w:bookmarkEnd w:id="122"/>
    </w:p>
    <w:p w:rsidR="00942338" w:rsidRDefault="00942338">
      <w:pPr>
        <w:pStyle w:val="BodyText"/>
        <w:rPr>
          <w:lang w:val="es-MX"/>
        </w:rPr>
      </w:pPr>
      <w:r>
        <w:rPr>
          <w:lang w:val="es-MX"/>
        </w:rPr>
        <w:t xml:space="preserve">No deberá considerarse como recaudación del ejercicio cobranzas efectuadas </w:t>
      </w:r>
      <w:r>
        <w:t xml:space="preserve">mediante  cheques diferidos y tarjetas de crédito con vencimiento posterior al cierre del ejercicio. Solamente deberán incluirse como recursos del ejercicio, los </w:t>
      </w:r>
      <w:r>
        <w:rPr>
          <w:lang w:val="es-MX"/>
        </w:rPr>
        <w:t>efectivamente depositados en las cuentas bancarias respectivas y  los montos  que al cierre se encuentren en poder de la Tesorería  para su depósito.</w:t>
      </w:r>
    </w:p>
    <w:p w:rsidR="00942338" w:rsidRDefault="00942338">
      <w:pPr>
        <w:pStyle w:val="Heading2"/>
      </w:pPr>
      <w:bookmarkStart w:id="123" w:name="_Toc373758967"/>
      <w:r>
        <w:t>3.4.1.6 Diferencias entre el Sistema Contable y Sistema de Cobros e Ingresos contabilizados en el ejercicio 2012.</w:t>
      </w:r>
      <w:bookmarkEnd w:id="123"/>
    </w:p>
    <w:p w:rsidR="00942338" w:rsidRDefault="00942338">
      <w:pPr>
        <w:pStyle w:val="BodyText"/>
        <w:rPr>
          <w:lang w:val="es-MX"/>
        </w:rPr>
      </w:pPr>
      <w:r>
        <w:rPr>
          <w:lang w:val="es-MX"/>
        </w:rPr>
        <w:t>La Intendencia deberá realizar la conciliación entre ambos sistemas de manera que se reflejen en el sistema contable todos los ingresos recaudados en el ejercicio.</w:t>
      </w:r>
    </w:p>
    <w:p w:rsidR="00942338" w:rsidRDefault="00942338">
      <w:pPr>
        <w:pStyle w:val="Heading2"/>
      </w:pPr>
      <w:bookmarkStart w:id="124" w:name="_Toc275353568"/>
      <w:bookmarkStart w:id="125" w:name="_Toc373758968"/>
      <w:r>
        <w:t>3.4.1.7 Movimiento de Fondos y Valores</w:t>
      </w:r>
      <w:bookmarkEnd w:id="124"/>
      <w:bookmarkEnd w:id="125"/>
    </w:p>
    <w:p w:rsidR="00942338" w:rsidRDefault="00942338">
      <w:pPr>
        <w:pStyle w:val="BodyText"/>
      </w:pPr>
      <w:r>
        <w:t>El Estado de Movimiento de Fondos y Valores deberá incluir la totalidad de los ingresos y egresos producidos en el ejercicio por concepto de fondos presupuestales, extrapresupuestales, indisponibles y financieros. Además los saldos de las cuentas de caja y banco deben reflejar los saldos al cierre de ejercicio.</w:t>
      </w:r>
    </w:p>
    <w:p w:rsidR="00942338" w:rsidRDefault="00942338">
      <w:pPr>
        <w:pStyle w:val="Heading2"/>
      </w:pPr>
      <w:bookmarkStart w:id="126" w:name="_Toc275353570"/>
      <w:bookmarkStart w:id="127" w:name="_Toc373758969"/>
      <w:r>
        <w:t>3.4.1.8 Diferencia de C</w:t>
      </w:r>
      <w:bookmarkEnd w:id="126"/>
      <w:r>
        <w:t>ambio</w:t>
      </w:r>
      <w:bookmarkEnd w:id="127"/>
      <w:r>
        <w:t xml:space="preserve"> </w:t>
      </w:r>
    </w:p>
    <w:p w:rsidR="00942338" w:rsidRDefault="00942338">
      <w:pPr>
        <w:pStyle w:val="BodyText"/>
      </w:pPr>
      <w:r>
        <w:t>Durante el ejercicio deberán registrarse las diferencias de cambio generadas al momento del pago y al cierre de ejercicio por los saldos adeudados en otras monedas.</w:t>
      </w:r>
    </w:p>
    <w:p w:rsidR="00942338" w:rsidRDefault="00942338">
      <w:pPr>
        <w:pStyle w:val="BodyText"/>
      </w:pPr>
      <w:r>
        <w:t>Se recomienda además automatizar mediante el uso de las herramientas informáticas el cálculo y la registración de la diferencia de cambio de manera de evitar errores en estas operaciones.</w:t>
      </w:r>
    </w:p>
    <w:p w:rsidR="00942338" w:rsidRDefault="00942338">
      <w:pPr>
        <w:pStyle w:val="Heading2"/>
      </w:pPr>
      <w:bookmarkStart w:id="128" w:name="_Toc373758970"/>
      <w:r>
        <w:t>3.4.1.9 Determinación del Resultado Acumulado</w:t>
      </w:r>
      <w:bookmarkEnd w:id="128"/>
    </w:p>
    <w:p w:rsidR="00942338" w:rsidRDefault="00942338">
      <w:pPr>
        <w:pStyle w:val="BodyText"/>
      </w:pPr>
      <w:r>
        <w:rPr>
          <w:lang w:val="es-MX"/>
        </w:rPr>
        <w:t>Se deberá realizar un análisis de las cuentas de activo y pasivo de manera de poder determinar el resultado acumulado al cierre de ejercicio, teniendo en cuenta las observaciones realizadas por el Tribunal en las diferentes cuentas que lo componen.</w:t>
      </w:r>
    </w:p>
    <w:p w:rsidR="00942338" w:rsidRDefault="00942338">
      <w:pPr>
        <w:pStyle w:val="Heading2"/>
      </w:pPr>
      <w:bookmarkStart w:id="129" w:name="_Toc275353550"/>
      <w:bookmarkStart w:id="130" w:name="_Toc373758971"/>
      <w:bookmarkStart w:id="131" w:name="_Toc242686390"/>
      <w:bookmarkStart w:id="132" w:name="_Toc242686379"/>
      <w:bookmarkStart w:id="133" w:name="_Toc275353539"/>
      <w:r>
        <w:t>3.4.1.10 Juicios contra la Intendencia</w:t>
      </w:r>
      <w:bookmarkEnd w:id="129"/>
      <w:bookmarkEnd w:id="130"/>
      <w:r>
        <w:t xml:space="preserve">  </w:t>
      </w:r>
      <w:bookmarkEnd w:id="131"/>
    </w:p>
    <w:p w:rsidR="00942338" w:rsidRDefault="00942338">
      <w:pPr>
        <w:pStyle w:val="BodyText"/>
      </w:pPr>
      <w:r>
        <w:t>La Intendencia deberá realizar un análisis para determinar las deudas correspondientes a juicios que cuentan con sentencia firme y efectuar las registraciones contables respectivas.</w:t>
      </w:r>
    </w:p>
    <w:p w:rsidR="00942338" w:rsidRDefault="00942338">
      <w:pPr>
        <w:pStyle w:val="Heading2"/>
      </w:pPr>
      <w:bookmarkStart w:id="134" w:name="_Toc242686397"/>
      <w:bookmarkStart w:id="135" w:name="_Toc275353557"/>
      <w:bookmarkStart w:id="136" w:name="_Toc373758972"/>
      <w:r>
        <w:t>3.4.1.11 Deuda con el BROU</w:t>
      </w:r>
      <w:bookmarkEnd w:id="134"/>
      <w:bookmarkEnd w:id="135"/>
      <w:bookmarkEnd w:id="136"/>
      <w:r>
        <w:t xml:space="preserve"> </w:t>
      </w:r>
    </w:p>
    <w:p w:rsidR="00942338" w:rsidRDefault="00942338">
      <w:pPr>
        <w:spacing w:line="360" w:lineRule="auto"/>
        <w:rPr>
          <w:lang w:val="es-MX"/>
        </w:rPr>
      </w:pPr>
      <w:r>
        <w:rPr>
          <w:lang w:val="es-MX"/>
        </w:rPr>
        <w:t>La Intendencia deberá proceder a realizar los ajustes necesarios  a efectos que el saldo contable corresponda a lo realmente adeudado al BROU.</w:t>
      </w:r>
      <w:r>
        <w:t xml:space="preserve"> </w:t>
      </w:r>
    </w:p>
    <w:p w:rsidR="00942338" w:rsidRDefault="00942338">
      <w:pPr>
        <w:pStyle w:val="Heading2"/>
      </w:pPr>
      <w:bookmarkStart w:id="137" w:name="_Toc242686400"/>
      <w:bookmarkStart w:id="138" w:name="_Toc275353560"/>
      <w:bookmarkStart w:id="139" w:name="_Toc373758973"/>
      <w:r>
        <w:t>3.4.1.12 Diferencias en los saldos adeudados a otros acreedores</w:t>
      </w:r>
      <w:bookmarkEnd w:id="137"/>
      <w:bookmarkEnd w:id="138"/>
      <w:bookmarkEnd w:id="139"/>
      <w:r>
        <w:t xml:space="preserve"> </w:t>
      </w:r>
    </w:p>
    <w:p w:rsidR="00942338" w:rsidRDefault="00942338">
      <w:pPr>
        <w:spacing w:line="360" w:lineRule="auto"/>
      </w:pPr>
      <w:r>
        <w:rPr>
          <w:lang w:val="es-MX"/>
        </w:rPr>
        <w:t>La Intendencia deberá proceder al análisis de las diferencias que resultan de los saldos contables adeudados a sus acreedores y los comunicados por las empresas. Deberá establecer los procedimientos necesarios a fin de determinar cuál es la deuda cierta y efectuar los ajustes respectivos</w:t>
      </w:r>
      <w:r>
        <w:t>.</w:t>
      </w:r>
    </w:p>
    <w:p w:rsidR="00942338" w:rsidRDefault="00942338">
      <w:pPr>
        <w:spacing w:line="360" w:lineRule="auto"/>
      </w:pPr>
      <w:r>
        <w:t>En relación a la deuda con COMERO por concepto de intereses devengados en el período 30/06/05-30/09/07, se deberá incluir información en el documento  sobre la existencia de dicha deuda, la cual se extinguirá una vez que se de cumplimiento en tiempo y forma al total de las obligaciones estipuladas en el convenio celebrado con fecha 16/09/08.</w:t>
      </w:r>
    </w:p>
    <w:p w:rsidR="00942338" w:rsidRDefault="00942338">
      <w:pPr>
        <w:pStyle w:val="Heading2"/>
      </w:pPr>
      <w:bookmarkStart w:id="140" w:name="_Toc275353551"/>
      <w:bookmarkStart w:id="141" w:name="_Toc373758974"/>
      <w:bookmarkEnd w:id="132"/>
      <w:bookmarkEnd w:id="133"/>
      <w:r>
        <w:t>3.4.1.13 Inconsistencia en los cuadros presentados</w:t>
      </w:r>
      <w:bookmarkEnd w:id="140"/>
      <w:bookmarkEnd w:id="141"/>
    </w:p>
    <w:p w:rsidR="00942338" w:rsidRDefault="00942338">
      <w:pPr>
        <w:pStyle w:val="BodyText"/>
      </w:pPr>
      <w:r>
        <w:t>La Intendencia deberá realizar una revisión analítica de los distintos cuadros incluidos en el documento, en forma previa a la presentación de la  Rendición de Cuentas.</w:t>
      </w:r>
    </w:p>
    <w:p w:rsidR="00942338" w:rsidRDefault="00942338">
      <w:pPr>
        <w:pStyle w:val="Heading2"/>
      </w:pPr>
      <w:bookmarkStart w:id="142" w:name="_Toc242174647"/>
      <w:bookmarkStart w:id="143" w:name="_Toc311709823"/>
      <w:bookmarkStart w:id="144" w:name="_Toc373758975"/>
      <w:r>
        <w:t>3.4.1.14 Intervención de gastos por el Tribunal de Cuentas</w:t>
      </w:r>
      <w:bookmarkEnd w:id="142"/>
      <w:bookmarkEnd w:id="143"/>
      <w:bookmarkEnd w:id="144"/>
    </w:p>
    <w:p w:rsidR="00942338" w:rsidRDefault="00942338">
      <w:pPr>
        <w:pStyle w:val="BodyText"/>
      </w:pPr>
      <w:r>
        <w:t>Los gastos incurridos por la Intendencia no podrán ser ejecutados hasta tanto no se haya dictado la resolución del Tribunal de cuentas interviniendo preventivamente el gasto, si éste fuera observado, y el ordenador dispone  continuar con el mismo deberá ser reiterado previamente a su ejecución y comunicado a este Tribunal.</w:t>
      </w:r>
    </w:p>
    <w:p w:rsidR="00942338" w:rsidRDefault="00942338">
      <w:pPr>
        <w:pStyle w:val="Heading2"/>
      </w:pPr>
      <w:bookmarkStart w:id="145" w:name="_Toc373758976"/>
      <w:r>
        <w:t>3.4.1.15  Fondos Indisponibles</w:t>
      </w:r>
      <w:bookmarkEnd w:id="145"/>
    </w:p>
    <w:p w:rsidR="00942338" w:rsidRDefault="00942338">
      <w:pPr>
        <w:spacing w:line="360" w:lineRule="auto"/>
      </w:pPr>
      <w:r>
        <w:t>Los fondos indisponibles deben ser vertidos en tiempo y forma a sus destinatarios.</w:t>
      </w:r>
    </w:p>
    <w:p w:rsidR="00942338" w:rsidRDefault="00942338">
      <w:pPr>
        <w:pStyle w:val="Heading2"/>
      </w:pPr>
      <w:bookmarkStart w:id="146" w:name="_Toc242686380"/>
      <w:bookmarkStart w:id="147" w:name="_Toc275353540"/>
      <w:bookmarkStart w:id="148" w:name="_Toc373758977"/>
      <w:r>
        <w:t>3.4.1.16 Anticipos a Rendir</w:t>
      </w:r>
      <w:bookmarkEnd w:id="146"/>
      <w:bookmarkEnd w:id="147"/>
      <w:bookmarkEnd w:id="148"/>
    </w:p>
    <w:p w:rsidR="00942338" w:rsidRDefault="00942338">
      <w:pPr>
        <w:spacing w:line="360" w:lineRule="auto"/>
      </w:pPr>
      <w:r>
        <w:t xml:space="preserve"> La Intendencia deberá rediseñar el procedimiento seguido para realizar las rendiciones de cuentas de forma que quede constancia de la fecha de efectuada la misma, que dicha fecha coincida con la fecha de rendida la partida  en el sistema contable y que a su vez permita controlar el plazo de las rendiciones de cuentas de los vales por adelanto de dinero y los comprobantes pendientes de descargo. Este procedimiento deberá estar de acuerdo a lo dispuesto por el Artículo 132 del TOCAF, el cual establece que “ninguna suma podrá permanecer sin rendir cuenta durante más de dos meses posteriores al mes en que fue recibida”. Asimismo, no se podrán entregar nuevos anticipos a quienes tengan entregas pendientes de rendición.</w:t>
      </w:r>
    </w:p>
    <w:p w:rsidR="00942338" w:rsidRDefault="00942338">
      <w:pPr>
        <w:pStyle w:val="Heading2"/>
      </w:pPr>
      <w:bookmarkStart w:id="149" w:name="_Toc242686401"/>
      <w:bookmarkStart w:id="150" w:name="_Toc275353561"/>
      <w:bookmarkStart w:id="151" w:name="_Toc373758978"/>
      <w:r>
        <w:t>3.4.1.17 Compensación de créditos y deudas por tributos</w:t>
      </w:r>
      <w:bookmarkEnd w:id="149"/>
      <w:bookmarkEnd w:id="150"/>
      <w:bookmarkEnd w:id="151"/>
    </w:p>
    <w:p w:rsidR="00942338" w:rsidRDefault="00942338">
      <w:pPr>
        <w:spacing w:line="360" w:lineRule="auto"/>
      </w:pPr>
      <w:r>
        <w:rPr>
          <w:lang w:val="es-MX"/>
        </w:rPr>
        <w:t xml:space="preserve">La compensación de deudas con tributos podrá realizarse si se trata de tributos propios de acuerdo a lo dispuesto en el artículo 478 de la ley 17.930. Además la deuda deberá encontrarse </w:t>
      </w:r>
      <w:r>
        <w:t>en la etapa de pago, previa verificación del cumplimiento de las etapas anteriores y de que la misma proviene de gastos o inversiones realizados de conformidad con las asignaciones presupuestales, contando con crédito disponible (artículo 25 del TOCAF).</w:t>
      </w:r>
    </w:p>
    <w:p w:rsidR="00942338" w:rsidRDefault="00942338">
      <w:pPr>
        <w:pStyle w:val="Heading2"/>
      </w:pPr>
      <w:bookmarkStart w:id="152" w:name="_Toc373758979"/>
      <w:r>
        <w:t>3.4.1.18 Auditoría Interna</w:t>
      </w:r>
      <w:bookmarkEnd w:id="152"/>
    </w:p>
    <w:p w:rsidR="00942338" w:rsidRDefault="00942338">
      <w:pPr>
        <w:spacing w:line="360" w:lineRule="auto"/>
      </w:pPr>
      <w:r>
        <w:t>En el ejercicio 2012 la Intendencia contrató a un Contador Público para estar a cargo de la Unidad de Auditoría Interna, igualmente deberá implementar los procedimientos para cumplir con lo establecido en el Artículo 111 Num. 6 del TOCAF.</w:t>
      </w:r>
    </w:p>
    <w:p w:rsidR="00942338" w:rsidRDefault="00942338">
      <w:pPr>
        <w:pStyle w:val="Heading2"/>
      </w:pPr>
      <w:bookmarkStart w:id="153" w:name="_Toc242686382"/>
      <w:bookmarkStart w:id="154" w:name="_Toc275353542"/>
      <w:bookmarkStart w:id="155" w:name="_Toc373758980"/>
      <w:r>
        <w:t>3.4.1.19  Gestión patrimonial</w:t>
      </w:r>
      <w:bookmarkEnd w:id="153"/>
      <w:bookmarkEnd w:id="154"/>
      <w:bookmarkEnd w:id="155"/>
    </w:p>
    <w:p w:rsidR="00942338" w:rsidRDefault="00942338">
      <w:pPr>
        <w:spacing w:line="360" w:lineRule="auto"/>
      </w:pPr>
      <w:r>
        <w:t xml:space="preserve">La Intendencia deberá implementar el sistema de contabilidad patrimonial, conforme a lo establecido en el Art. 94 del TOCAF y a la Ordenanza 81 de este Cuerpo. </w:t>
      </w:r>
    </w:p>
    <w:p w:rsidR="00942338" w:rsidRDefault="00942338">
      <w:pPr>
        <w:pStyle w:val="Heading2"/>
      </w:pPr>
      <w:bookmarkStart w:id="156" w:name="_Toc242686384"/>
      <w:bookmarkStart w:id="157" w:name="_Toc275353544"/>
      <w:bookmarkStart w:id="158" w:name="_Toc373758981"/>
      <w:r>
        <w:t>3.4.1.20 Póliza de Seguro o Fianza para los funcionarios que manejan Fondos</w:t>
      </w:r>
      <w:bookmarkEnd w:id="156"/>
      <w:bookmarkEnd w:id="157"/>
      <w:bookmarkEnd w:id="158"/>
    </w:p>
    <w:p w:rsidR="00942338" w:rsidRDefault="00942338">
      <w:pPr>
        <w:spacing w:line="360" w:lineRule="auto"/>
      </w:pPr>
      <w:r>
        <w:t>Se deberán contratar fianzas o pólizas de seguros, respecto a todo funcionario que maneje o custodie fondos o valores, a los efectos de dar cumplimiento a lo establecido en el artículo 133 del TOCAF.</w:t>
      </w:r>
    </w:p>
    <w:p w:rsidR="00942338" w:rsidRDefault="00942338">
      <w:pPr>
        <w:pStyle w:val="Heading2"/>
      </w:pPr>
      <w:bookmarkStart w:id="159" w:name="_Toc242686385"/>
      <w:bookmarkStart w:id="160" w:name="_Toc275353545"/>
      <w:bookmarkStart w:id="161" w:name="_Toc373758982"/>
      <w:r>
        <w:t>3.4.1.21 Horas extras</w:t>
      </w:r>
      <w:bookmarkEnd w:id="159"/>
      <w:bookmarkEnd w:id="160"/>
      <w:bookmarkEnd w:id="161"/>
    </w:p>
    <w:p w:rsidR="00942338" w:rsidRDefault="00942338">
      <w:pPr>
        <w:spacing w:line="360" w:lineRule="auto"/>
      </w:pPr>
      <w:r>
        <w:t xml:space="preserve">El otorgamiento de horas extras a los funcionarios de la Intendencia deberá realizarse de acuerdo al Convenio N° 30 de la O.I.T. </w:t>
      </w:r>
    </w:p>
    <w:p w:rsidR="00942338" w:rsidRDefault="00942338">
      <w:pPr>
        <w:pStyle w:val="Heading2"/>
      </w:pPr>
      <w:bookmarkStart w:id="162" w:name="_Toc242686386"/>
      <w:bookmarkStart w:id="163" w:name="_Toc275353546"/>
      <w:bookmarkStart w:id="164" w:name="_Toc373758983"/>
      <w:r>
        <w:t>3.4.1.22 Resolución del Tribunal de Cuentas del 16/07/03</w:t>
      </w:r>
      <w:bookmarkEnd w:id="162"/>
      <w:bookmarkEnd w:id="163"/>
      <w:bookmarkEnd w:id="164"/>
    </w:p>
    <w:p w:rsidR="00942338" w:rsidRDefault="00942338">
      <w:pPr>
        <w:spacing w:line="360" w:lineRule="auto"/>
      </w:pPr>
      <w:r>
        <w:t>De acuerdo a lo establecido por este Tribunal en su Resolución de 16/07/03, las compensaciones entre deudas tributarias y créditos salariales no son admisibles, salvo en el caso de funcionarios que sean a su vez deudores de tributos departamentales en las condiciones de concurrencia entre deudores y créditos de conformidad con lo previsto en el Art. 1497 y siguientes del Código Civil.</w:t>
      </w:r>
    </w:p>
    <w:p w:rsidR="00942338" w:rsidRDefault="00942338">
      <w:pPr>
        <w:pStyle w:val="Heading2"/>
      </w:pPr>
      <w:bookmarkStart w:id="165" w:name="_Toc242686406"/>
      <w:bookmarkStart w:id="166" w:name="_Toc275353563"/>
      <w:bookmarkStart w:id="167" w:name="_Toc373758984"/>
      <w:r>
        <w:t>3.4.1.23 Principio de Igualdad de los Oferentes</w:t>
      </w:r>
      <w:bookmarkEnd w:id="165"/>
      <w:bookmarkEnd w:id="166"/>
      <w:bookmarkEnd w:id="167"/>
    </w:p>
    <w:p w:rsidR="00942338" w:rsidRDefault="00942338">
      <w:pPr>
        <w:spacing w:line="360" w:lineRule="auto"/>
        <w:rPr>
          <w:lang w:val="es-MX"/>
        </w:rPr>
      </w:pPr>
      <w:r>
        <w:rPr>
          <w:lang w:val="es-MX"/>
        </w:rPr>
        <w:t>En todo procedimiento de contratación, la Intendencia deberá controlar el cumplimiento del principio de igualdad de los oferentes, establecido en el Artículo 149 Literal B) del TOCAF.</w:t>
      </w:r>
    </w:p>
    <w:p w:rsidR="00942338" w:rsidRDefault="00942338">
      <w:pPr>
        <w:pStyle w:val="Heading2"/>
      </w:pPr>
      <w:bookmarkStart w:id="168" w:name="_Toc242174653"/>
      <w:bookmarkStart w:id="169" w:name="_Toc242686407"/>
      <w:bookmarkStart w:id="170" w:name="_Toc275353564"/>
      <w:bookmarkStart w:id="171" w:name="_Toc373758985"/>
      <w:r>
        <w:t>3.4.1.24 Resolución del Tribunal de Cuentas de fecha 11/05/05</w:t>
      </w:r>
      <w:bookmarkEnd w:id="168"/>
      <w:bookmarkEnd w:id="169"/>
      <w:bookmarkEnd w:id="170"/>
      <w:bookmarkEnd w:id="171"/>
    </w:p>
    <w:p w:rsidR="00942338" w:rsidRDefault="00942338">
      <w:pPr>
        <w:spacing w:line="360" w:lineRule="auto"/>
      </w:pPr>
      <w:r>
        <w:t xml:space="preserve">Deberán remitirse a este Cuerpo los informes semestrales producidos por las Comisiones de Control o por las Oficinas que tengan a su cargo la verificación del cumplimiento de los contratos de concesión, de acuerdo a lo establecido por la citada resolución con la redacción dada por la Resolución de fecha 28/03/07.  </w:t>
      </w:r>
    </w:p>
    <w:p w:rsidR="00942338" w:rsidRDefault="00942338">
      <w:pPr>
        <w:pStyle w:val="Heading2"/>
      </w:pPr>
      <w:bookmarkStart w:id="172" w:name="_Toc242686387"/>
      <w:bookmarkStart w:id="173" w:name="_Toc275353547"/>
      <w:bookmarkStart w:id="174" w:name="_Toc373758986"/>
      <w:r>
        <w:t>3.4.1.25 Debilidades de control interno respecto a recursos o manejo de fondos</w:t>
      </w:r>
      <w:bookmarkEnd w:id="172"/>
      <w:bookmarkEnd w:id="173"/>
      <w:bookmarkEnd w:id="174"/>
    </w:p>
    <w:p w:rsidR="00942338" w:rsidRDefault="00942338">
      <w:pPr>
        <w:spacing w:line="360" w:lineRule="auto"/>
      </w:pPr>
      <w:r>
        <w:t>La Intendencia deberá adecuar su sistema de control interno de forma de garantizar la oposición de intereses en el  personal que realiza las registraciones contables así como las conciliaciones y los ajustes que resulten de éstas.</w:t>
      </w:r>
    </w:p>
    <w:p w:rsidR="00942338" w:rsidRDefault="00942338">
      <w:pPr>
        <w:spacing w:line="360" w:lineRule="auto"/>
      </w:pPr>
      <w:r>
        <w:t>Se deberá  implementar un procedimiento de control de la recaudación que asegure la existencia, integridad, propiedad, valuación y exactitud de la información contable. El mismo deberá, entre otras cosas, prever: el control de correlatividad numérica de los recibos de recaudación, el seguimiento de los recibos anulados y de la documentación faltante, el análisis de los recibos emitidos controlando que la emisión cumpla con la normativa vigente, la verificación del depósito diario de la recaudación, control de los medios de pago y  la constancia de la persona que realizó el control.</w:t>
      </w:r>
    </w:p>
    <w:p w:rsidR="00942338" w:rsidRDefault="00942338">
      <w:pPr>
        <w:spacing w:line="360" w:lineRule="auto"/>
      </w:pPr>
      <w:r>
        <w:t>El control de ingresos deberá efectuarse en forma oportuna, evitando atrasos en la verificación,  de modo que resulte efectivo.</w:t>
      </w:r>
    </w:p>
    <w:p w:rsidR="00942338" w:rsidRDefault="00942338">
      <w:pPr>
        <w:spacing w:line="360" w:lineRule="auto"/>
      </w:pPr>
      <w:r>
        <w:t>Se deberá además cotejar los importes pagados en más que son ingresados en la cuenta corriente de un padrón con la respectiva documentación respaldante.</w:t>
      </w:r>
    </w:p>
    <w:p w:rsidR="00942338" w:rsidRDefault="00942338">
      <w:pPr>
        <w:spacing w:line="360" w:lineRule="auto"/>
        <w:rPr>
          <w:b/>
          <w:bCs/>
        </w:rPr>
      </w:pPr>
      <w:r>
        <w:t>Se deberán establecer los procedimientos de control de los convenios celebrados con los contribuyentes, realizándose este por personal independiente a la oficina responsable a su otorgamiento.</w:t>
      </w:r>
    </w:p>
    <w:p w:rsidR="00942338" w:rsidRDefault="00942338">
      <w:pPr>
        <w:pStyle w:val="Heading2"/>
      </w:pPr>
      <w:bookmarkStart w:id="175" w:name="_Toc242686388"/>
      <w:bookmarkStart w:id="176" w:name="_Toc275353548"/>
      <w:bookmarkStart w:id="177" w:name="_Toc373758987"/>
      <w:r>
        <w:t>3.4.1.26 Debilidades de control interno respecto a retribuciones personales</w:t>
      </w:r>
      <w:bookmarkEnd w:id="175"/>
      <w:bookmarkEnd w:id="176"/>
      <w:bookmarkEnd w:id="177"/>
    </w:p>
    <w:p w:rsidR="00942338" w:rsidRDefault="00942338">
      <w:pPr>
        <w:spacing w:line="360" w:lineRule="auto"/>
      </w:pPr>
      <w:r>
        <w:t>Las designaciones de personal deben ser realizadas de forma previa al comienzo de la prestación de servicios. A  su vez los contratos de función pública deben ser renovados, en caso de considerarse necesarios, con anterioridad a su vencimiento.</w:t>
      </w:r>
    </w:p>
    <w:p w:rsidR="00942338" w:rsidRDefault="00942338">
      <w:pPr>
        <w:spacing w:line="360" w:lineRule="auto"/>
      </w:pPr>
      <w:r>
        <w:t xml:space="preserve">La Intendencia deberá redactar un manual de procedimientos para el proceso de liquidación de sueldos, estableciendo los niveles de responsabilidad  de cada área y las tareas de control a realizar para la realización eficaz e eficiente de las respectivas liquidaciones de sueldos y  su pago posterior. </w:t>
      </w:r>
    </w:p>
    <w:p w:rsidR="00942338" w:rsidRDefault="00942338">
      <w:pPr>
        <w:spacing w:line="360" w:lineRule="auto"/>
        <w:rPr>
          <w:b/>
          <w:bCs/>
        </w:rPr>
      </w:pPr>
      <w:r>
        <w:t>Además deberán de establecerse las responsabilidades y procedimientos para la elaboración y presentación de las liquidaciones de cargas sociales y de las retenciones de sueldos. Para las diferencias detectadas de montepío e IRPF se deberán de analizar las causas de las mismas y presentar las reliquidaciones ante el BPS y la DGI debiendo informar a este Tribunal de los ajustes realizados.</w:t>
      </w:r>
    </w:p>
    <w:p w:rsidR="00942338" w:rsidRDefault="00942338">
      <w:pPr>
        <w:pStyle w:val="Heading2"/>
      </w:pPr>
      <w:bookmarkStart w:id="178" w:name="_Toc242686389"/>
      <w:bookmarkStart w:id="179" w:name="_Toc275353549"/>
      <w:bookmarkStart w:id="180" w:name="_Toc373758988"/>
      <w:r>
        <w:t>3.4.1.27 Debilidades de control interno respecto adquisición de bienes y contratación de servicios</w:t>
      </w:r>
      <w:bookmarkEnd w:id="178"/>
      <w:bookmarkEnd w:id="179"/>
      <w:bookmarkEnd w:id="180"/>
    </w:p>
    <w:p w:rsidR="00942338" w:rsidRDefault="00942338">
      <w:pPr>
        <w:spacing w:line="360" w:lineRule="auto"/>
      </w:pPr>
      <w:r>
        <w:t>Se deberán planificar las compras y los requerimientos de servicios anualmente, y contratar los suministros o servicios por grupo de artículos o servicios de un mismo ramo, de acuerdo a lo establecido en el Art. 43 del TOCAF, teniendo en cuenta los procedimientos de contratación establecidos en el Art. 33 del referido Texto Ordenado. Deberá establecerse un  procedimiento de compras que asegure el cumplimiento de las normas de contratación vigentes.</w:t>
      </w:r>
    </w:p>
    <w:p w:rsidR="00942338" w:rsidRDefault="00942338">
      <w:pPr>
        <w:pStyle w:val="Heading2"/>
        <w:numPr>
          <w:ilvl w:val="2"/>
          <w:numId w:val="4"/>
        </w:numPr>
      </w:pPr>
      <w:bookmarkStart w:id="181" w:name="_Toc373758989"/>
      <w:r>
        <w:t>Recomendaciones del ejercicio</w:t>
      </w:r>
      <w:bookmarkEnd w:id="181"/>
    </w:p>
    <w:p w:rsidR="00942338" w:rsidRDefault="00942338">
      <w:pPr>
        <w:spacing w:line="360" w:lineRule="auto"/>
      </w:pPr>
      <w:r>
        <w:t>Se reiteran las recomendaciones señaladas en el numeral 3.4.1 y se agregan las siguientes:</w:t>
      </w:r>
    </w:p>
    <w:p w:rsidR="00942338" w:rsidRDefault="00942338">
      <w:pPr>
        <w:pStyle w:val="Heading2"/>
        <w:numPr>
          <w:ilvl w:val="3"/>
          <w:numId w:val="4"/>
        </w:numPr>
        <w:rPr>
          <w:lang w:val="es-MX"/>
        </w:rPr>
      </w:pPr>
      <w:bookmarkStart w:id="182" w:name="_Toc373758990"/>
      <w:r>
        <w:rPr>
          <w:lang w:val="es-MX"/>
        </w:rPr>
        <w:t>Pliego particular de condiciones</w:t>
      </w:r>
      <w:bookmarkEnd w:id="182"/>
    </w:p>
    <w:p w:rsidR="00942338" w:rsidRDefault="00942338">
      <w:pPr>
        <w:pStyle w:val="BodyText"/>
      </w:pPr>
      <w:r>
        <w:rPr>
          <w:lang w:val="es-MX"/>
        </w:rPr>
        <w:t>La Intendencia deberá incluir en el pliego particular de condiciones la información mínima requerida en el Artículo 48 del TOCAF y no</w:t>
      </w:r>
      <w:r>
        <w:t xml:space="preserve"> podrá  imponer al oferente requisitos que no estén directamente vinculados a la consideración del objeto de la contratación y a la evaluación de la oferta.</w:t>
      </w:r>
    </w:p>
    <w:p w:rsidR="00942338" w:rsidRDefault="00942338">
      <w:pPr>
        <w:pStyle w:val="Heading2"/>
        <w:numPr>
          <w:ilvl w:val="3"/>
          <w:numId w:val="4"/>
        </w:numPr>
      </w:pPr>
      <w:bookmarkStart w:id="183" w:name="_Toc242686391"/>
      <w:bookmarkStart w:id="184" w:name="_Toc275353552"/>
      <w:bookmarkStart w:id="185" w:name="_Toc373758991"/>
      <w:r>
        <w:t>Garantías de Licitación</w:t>
      </w:r>
      <w:bookmarkEnd w:id="183"/>
      <w:bookmarkEnd w:id="184"/>
      <w:bookmarkEnd w:id="185"/>
      <w:r>
        <w:t xml:space="preserve"> </w:t>
      </w:r>
    </w:p>
    <w:p w:rsidR="00942338" w:rsidRDefault="00942338">
      <w:pPr>
        <w:spacing w:line="360" w:lineRule="auto"/>
      </w:pPr>
      <w:r>
        <w:t xml:space="preserve">La Intendencia deberá mantener un registro actualizado de las garantías de licitación en su poder que permita identificar los titulares de las mismas. </w:t>
      </w:r>
    </w:p>
    <w:p w:rsidR="00942338" w:rsidRDefault="00942338">
      <w:pPr>
        <w:pStyle w:val="BodyText"/>
      </w:pPr>
      <w:r>
        <w:t>Asimismo, en aquellos casos que corresponda,  se deberá dejar constancia en el expediente la constitución de la garantía de fiel cumplimiento de contrato a que refiere el artículo 64 del TOCAF.</w:t>
      </w:r>
    </w:p>
    <w:p w:rsidR="00942338" w:rsidRDefault="00942338">
      <w:pPr>
        <w:pStyle w:val="Heading2"/>
        <w:numPr>
          <w:ilvl w:val="3"/>
          <w:numId w:val="4"/>
        </w:numPr>
        <w:tabs>
          <w:tab w:val="num" w:pos="2880"/>
        </w:tabs>
        <w:spacing w:before="0" w:after="0"/>
        <w:ind w:left="0" w:firstLine="0"/>
      </w:pPr>
      <w:bookmarkStart w:id="186" w:name="_Toc373758992"/>
      <w:r>
        <w:t>Publicación en la pagina web de Compras y Contrataciones Estatales</w:t>
      </w:r>
      <w:bookmarkEnd w:id="186"/>
    </w:p>
    <w:p w:rsidR="00942338" w:rsidRDefault="00942338">
      <w:pPr>
        <w:pStyle w:val="BodyText"/>
      </w:pPr>
      <w:r>
        <w:rPr>
          <w:lang w:val="es-MX"/>
        </w:rPr>
        <w:t>En todo procedimiento de contratación, la Intendencia deberá controlar el cumplimiento de todas las publicaciones establecidas en el Artículo 50 del TOCAF.</w:t>
      </w:r>
    </w:p>
    <w:p w:rsidR="00942338" w:rsidRDefault="00942338">
      <w:pPr>
        <w:pStyle w:val="Heading2"/>
        <w:numPr>
          <w:ilvl w:val="3"/>
          <w:numId w:val="4"/>
        </w:numPr>
        <w:spacing w:before="0" w:after="0"/>
      </w:pPr>
      <w:bookmarkStart w:id="187" w:name="_Toc373758993"/>
      <w:r>
        <w:t>Contrataciones de Personal</w:t>
      </w:r>
      <w:bookmarkEnd w:id="187"/>
    </w:p>
    <w:p w:rsidR="00942338" w:rsidRDefault="00942338">
      <w:pPr>
        <w:pStyle w:val="BodyText"/>
        <w:rPr>
          <w:lang w:val="es-MX"/>
        </w:rPr>
      </w:pPr>
      <w:r>
        <w:rPr>
          <w:lang w:val="es-MX"/>
        </w:rPr>
        <w:t>La intendencia deberá realizar las contrataciones de personal respetando la normativa establecida en el Estatuto del Funcionario Municipal.</w:t>
      </w:r>
    </w:p>
    <w:p w:rsidR="00942338" w:rsidRDefault="00942338">
      <w:pPr>
        <w:pStyle w:val="Heading2"/>
        <w:numPr>
          <w:ilvl w:val="3"/>
          <w:numId w:val="4"/>
        </w:numPr>
        <w:spacing w:before="0" w:after="0"/>
        <w:ind w:left="0" w:firstLine="0"/>
      </w:pPr>
      <w:bookmarkStart w:id="188" w:name="_Toc373758994"/>
      <w:r>
        <w:t>Art. 128 del TOCAF y Resolución del Tribunal de Cuentas del 28/01/04.</w:t>
      </w:r>
      <w:bookmarkEnd w:id="188"/>
      <w:r>
        <w:t xml:space="preserve"> </w:t>
      </w:r>
    </w:p>
    <w:p w:rsidR="00942338" w:rsidRDefault="00942338">
      <w:pPr>
        <w:pStyle w:val="BodyText"/>
        <w:tabs>
          <w:tab w:val="left" w:pos="900"/>
        </w:tabs>
        <w:rPr>
          <w:lang w:val="es-UY"/>
        </w:rPr>
      </w:pPr>
      <w:r>
        <w:t>El documento</w:t>
      </w:r>
      <w:r>
        <w:rPr>
          <w:b/>
          <w:bCs/>
        </w:rPr>
        <w:t xml:space="preserve"> </w:t>
      </w:r>
      <w:r>
        <w:t xml:space="preserve">de Rendición de Cuentas presentado deberá formularse de acuerdo al Instructivo aprobado </w:t>
      </w:r>
      <w:r>
        <w:rPr>
          <w:lang w:val="es-UY"/>
        </w:rPr>
        <w:t>por  la Resolución del Tribunal de Cuentas del 28/01/04.</w:t>
      </w:r>
    </w:p>
    <w:p w:rsidR="00942338" w:rsidRDefault="00942338">
      <w:pPr>
        <w:pStyle w:val="BodyText"/>
        <w:tabs>
          <w:tab w:val="left" w:pos="900"/>
        </w:tabs>
      </w:pPr>
      <w:r>
        <w:rPr>
          <w:lang w:val="es-UY"/>
        </w:rPr>
        <w:t xml:space="preserve">A su vez </w:t>
      </w:r>
      <w:r>
        <w:t>se debe incluir</w:t>
      </w:r>
      <w:r>
        <w:rPr>
          <w:b/>
          <w:bCs/>
        </w:rPr>
        <w:t xml:space="preserve"> </w:t>
      </w:r>
      <w:r>
        <w:t>información  respecto al</w:t>
      </w:r>
      <w:r>
        <w:rPr>
          <w:b/>
          <w:bCs/>
        </w:rPr>
        <w:t xml:space="preserve"> </w:t>
      </w:r>
      <w:r>
        <w:t xml:space="preserve">grado de cumplimiento de los objetivos y metas programadas y las alcanzadas, y del costo resultante.  </w:t>
      </w:r>
    </w:p>
    <w:p w:rsidR="00942338" w:rsidRDefault="00942338">
      <w:pPr>
        <w:pStyle w:val="Heading2"/>
        <w:numPr>
          <w:ilvl w:val="3"/>
          <w:numId w:val="4"/>
        </w:numPr>
        <w:spacing w:before="0" w:after="0"/>
        <w:ind w:left="0" w:firstLine="0"/>
      </w:pPr>
      <w:bookmarkStart w:id="189" w:name="_Toc373758995"/>
      <w:r>
        <w:t>Caducidad de Convenios suscritos con deudores de la Intendencia de Rocha por incumplimiento en el pago de cuotas.</w:t>
      </w:r>
      <w:bookmarkEnd w:id="189"/>
    </w:p>
    <w:p w:rsidR="00942338" w:rsidRDefault="00942338">
      <w:pPr>
        <w:spacing w:after="0" w:line="360" w:lineRule="auto"/>
        <w:rPr>
          <w:lang w:eastAsia="ar-SA"/>
        </w:rPr>
      </w:pPr>
      <w:r>
        <w:rPr>
          <w:lang w:eastAsia="ar-SA"/>
        </w:rPr>
        <w:t xml:space="preserve">En los Convenios suscriptos entre la Intendencia y sus deudores se deberán de establecer los procedimientos en el sistema informático para que automáticamente se cumpla  con los términos de caducidad dispuestos en los mismos. </w:t>
      </w:r>
    </w:p>
    <w:p w:rsidR="00942338" w:rsidRDefault="00942338">
      <w:pPr>
        <w:pStyle w:val="BodyText"/>
        <w:jc w:val="right"/>
        <w:rPr>
          <w:lang w:val="es-MX"/>
        </w:rPr>
      </w:pPr>
      <w:r>
        <w:rPr>
          <w:lang w:val="es-MX"/>
        </w:rPr>
        <w:t>Montevideo, 03 de diciembre de 2013.</w:t>
      </w:r>
    </w:p>
    <w:p w:rsidR="00942338" w:rsidRDefault="00942338">
      <w:pPr>
        <w:pStyle w:val="List"/>
        <w:rPr>
          <w:rFonts w:ascii="Times New Roman" w:hAnsi="Times New Roman" w:cs="Times New Roman"/>
        </w:rPr>
      </w:pPr>
    </w:p>
    <w:sectPr w:rsidR="00942338" w:rsidSect="00942338">
      <w:footerReference w:type="default" r:id="rId7"/>
      <w:pgSz w:w="11906" w:h="16838" w:code="9"/>
      <w:pgMar w:top="3402" w:right="1701" w:bottom="1418"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38" w:rsidRDefault="0094233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42338" w:rsidRDefault="0094233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38" w:rsidRDefault="00942338">
    <w:pPr>
      <w:pStyle w:val="Footer"/>
      <w:framePr w:wrap="auto"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36</w:t>
    </w:r>
    <w:r>
      <w:rPr>
        <w:rStyle w:val="PageNumber"/>
        <w:rFonts w:ascii="Times New Roman" w:hAnsi="Times New Roman" w:cs="Times New Roman"/>
      </w:rPr>
      <w:fldChar w:fldCharType="end"/>
    </w:r>
  </w:p>
  <w:p w:rsidR="00942338" w:rsidRDefault="0094233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38" w:rsidRDefault="0094233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42338" w:rsidRDefault="0094233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7A78"/>
    <w:multiLevelType w:val="multilevel"/>
    <w:tmpl w:val="8EACC9D2"/>
    <w:lvl w:ilvl="0">
      <w:start w:val="3"/>
      <w:numFmt w:val="decimal"/>
      <w:lvlText w:val="%1"/>
      <w:lvlJc w:val="left"/>
      <w:pPr>
        <w:tabs>
          <w:tab w:val="num" w:pos="645"/>
        </w:tabs>
        <w:ind w:left="645" w:hanging="645"/>
      </w:pPr>
      <w:rPr>
        <w:rFonts w:hint="default"/>
      </w:rPr>
    </w:lvl>
    <w:lvl w:ilvl="1">
      <w:start w:val="4"/>
      <w:numFmt w:val="decimal"/>
      <w:lvlText w:val="%1.%2"/>
      <w:lvlJc w:val="left"/>
      <w:pPr>
        <w:tabs>
          <w:tab w:val="num" w:pos="645"/>
        </w:tabs>
        <w:ind w:left="645" w:hanging="645"/>
      </w:pPr>
      <w:rPr>
        <w:rFonts w:hint="default"/>
      </w:rPr>
    </w:lvl>
    <w:lvl w:ilvl="2">
      <w:start w:val="3"/>
      <w:numFmt w:val="decimal"/>
      <w:lvlText w:val="%1.%2.2"/>
      <w:lvlJc w:val="left"/>
      <w:pPr>
        <w:tabs>
          <w:tab w:val="num" w:pos="720"/>
        </w:tabs>
        <w:ind w:left="720" w:hanging="720"/>
      </w:pPr>
      <w:rPr>
        <w:rFonts w:hint="default"/>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0702D20"/>
    <w:multiLevelType w:val="hybridMultilevel"/>
    <w:tmpl w:val="C6149A3E"/>
    <w:lvl w:ilvl="0" w:tplc="AC641D2C">
      <w:start w:val="1"/>
      <w:numFmt w:val="decimal"/>
      <w:lvlText w:val="%1."/>
      <w:lvlJc w:val="left"/>
      <w:pPr>
        <w:tabs>
          <w:tab w:val="num" w:pos="360"/>
        </w:tabs>
        <w:ind w:left="36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5DFC5887"/>
    <w:multiLevelType w:val="hybridMultilevel"/>
    <w:tmpl w:val="FEBC0E52"/>
    <w:lvl w:ilvl="0" w:tplc="FFFFFFFF">
      <w:start w:val="1"/>
      <w:numFmt w:val="decimal"/>
      <w:lvlText w:val="%1)"/>
      <w:lvlJc w:val="left"/>
      <w:pPr>
        <w:tabs>
          <w:tab w:val="num" w:pos="360"/>
        </w:tabs>
        <w:ind w:left="340" w:hanging="340"/>
      </w:pPr>
      <w:rPr>
        <w:rFonts w:ascii="Times New Roman" w:hAnsi="Times New Roman" w:cs="Times New Roman" w:hint="default"/>
        <w:b/>
        <w:bCs/>
        <w:i w:val="0"/>
        <w:iCs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nsid w:val="7CE0765E"/>
    <w:multiLevelType w:val="hybridMultilevel"/>
    <w:tmpl w:val="AC409B00"/>
    <w:lvl w:ilvl="0" w:tplc="FFFFFFFF">
      <w:start w:val="3"/>
      <w:numFmt w:val="bullet"/>
      <w:lvlText w:val="-"/>
      <w:lvlJc w:val="left"/>
      <w:pPr>
        <w:tabs>
          <w:tab w:val="num" w:pos="720"/>
        </w:tabs>
        <w:ind w:left="720" w:hanging="360"/>
      </w:pPr>
      <w:rPr>
        <w:rFonts w:ascii="Times New Roman" w:eastAsia="Times New Roman" w:hAnsi="Times New Roman" w:hint="default"/>
        <w:b/>
        <w:bCs/>
      </w:rPr>
    </w:lvl>
    <w:lvl w:ilvl="1" w:tplc="63B23A72">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2338"/>
    <w:rsid w:val="0094233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Arial" w:hAnsi="Arial" w:cs="Arial"/>
      <w:sz w:val="24"/>
      <w:szCs w:val="24"/>
      <w:lang w:val="es-UY" w:eastAsia="en-US"/>
    </w:rPr>
  </w:style>
  <w:style w:type="paragraph" w:styleId="Heading2">
    <w:name w:val="heading 2"/>
    <w:basedOn w:val="Normal"/>
    <w:next w:val="Normal"/>
    <w:link w:val="Heading2Char"/>
    <w:uiPriority w:val="99"/>
    <w:qFormat/>
    <w:pPr>
      <w:keepNext/>
      <w:spacing w:before="240" w:after="60" w:line="360" w:lineRule="auto"/>
      <w:outlineLvl w:val="1"/>
    </w:pPr>
    <w:rPr>
      <w:b/>
      <w:bCs/>
      <w:lang w:val="es-ES" w:eastAsia="es-ES"/>
    </w:rPr>
  </w:style>
  <w:style w:type="paragraph" w:styleId="Heading6">
    <w:name w:val="heading 6"/>
    <w:basedOn w:val="Normal"/>
    <w:next w:val="Normal"/>
    <w:link w:val="Heading6Char"/>
    <w:uiPriority w:val="99"/>
    <w:qFormat/>
    <w:pPr>
      <w:keepNext/>
      <w:spacing w:after="0" w:line="360" w:lineRule="auto"/>
      <w:jc w:val="center"/>
      <w:outlineLvl w:val="5"/>
    </w:pPr>
    <w:rPr>
      <w:b/>
      <w:bCs/>
      <w:lang w:val="es-ES" w:eastAsia="es-ES"/>
    </w:rPr>
  </w:style>
  <w:style w:type="paragraph" w:styleId="Heading7">
    <w:name w:val="heading 7"/>
    <w:basedOn w:val="Normal"/>
    <w:next w:val="Normal"/>
    <w:link w:val="Heading7Char"/>
    <w:uiPriority w:val="99"/>
    <w:qFormat/>
    <w:pPr>
      <w:keepNext/>
      <w:spacing w:after="0" w:line="240" w:lineRule="auto"/>
      <w:jc w:val="center"/>
      <w:outlineLvl w:val="6"/>
    </w:pPr>
    <w:rPr>
      <w:b/>
      <w:bCs/>
      <w:sz w:val="16"/>
      <w:szCs w:val="16"/>
      <w:lang w:val="es-ES" w:eastAsia="es-E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2338"/>
    <w:rPr>
      <w:rFonts w:asciiTheme="majorHAnsi" w:eastAsiaTheme="majorEastAsia" w:hAnsiTheme="majorHAnsi" w:cstheme="majorBidi"/>
      <w:b/>
      <w:bCs/>
      <w:i/>
      <w:iCs/>
      <w:sz w:val="28"/>
      <w:szCs w:val="28"/>
      <w:lang w:val="es-UY" w:eastAsia="en-US"/>
    </w:rPr>
  </w:style>
  <w:style w:type="character" w:customStyle="1" w:styleId="Heading6Char">
    <w:name w:val="Heading 6 Char"/>
    <w:basedOn w:val="DefaultParagraphFont"/>
    <w:link w:val="Heading6"/>
    <w:uiPriority w:val="99"/>
    <w:rPr>
      <w:rFonts w:eastAsia="Times New Roman"/>
      <w:b/>
      <w:bCs/>
      <w:sz w:val="24"/>
      <w:szCs w:val="24"/>
      <w:lang w:val="es-ES" w:eastAsia="es-ES"/>
    </w:rPr>
  </w:style>
  <w:style w:type="character" w:customStyle="1" w:styleId="Heading7Char">
    <w:name w:val="Heading 7 Char"/>
    <w:basedOn w:val="DefaultParagraphFont"/>
    <w:link w:val="Heading7"/>
    <w:uiPriority w:val="9"/>
    <w:semiHidden/>
    <w:rsid w:val="00942338"/>
    <w:rPr>
      <w:sz w:val="24"/>
      <w:szCs w:val="24"/>
      <w:lang w:val="es-UY" w:eastAsia="en-US"/>
    </w:rPr>
  </w:style>
  <w:style w:type="paragraph" w:styleId="BodyText">
    <w:name w:val="Body Text"/>
    <w:basedOn w:val="Normal"/>
    <w:link w:val="BodyTextChar"/>
    <w:uiPriority w:val="99"/>
    <w:pPr>
      <w:spacing w:after="0" w:line="360" w:lineRule="auto"/>
    </w:pPr>
    <w:rPr>
      <w:lang w:val="es-ES" w:eastAsia="es-ES"/>
    </w:rPr>
  </w:style>
  <w:style w:type="character" w:customStyle="1" w:styleId="BodyTextChar">
    <w:name w:val="Body Text Char"/>
    <w:basedOn w:val="DefaultParagraphFont"/>
    <w:link w:val="BodyText"/>
    <w:uiPriority w:val="99"/>
    <w:rPr>
      <w:rFonts w:eastAsia="Times New Roman"/>
      <w:sz w:val="24"/>
      <w:szCs w:val="24"/>
      <w:lang w:val="es-ES" w:eastAsia="es-ES"/>
    </w:rPr>
  </w:style>
  <w:style w:type="paragraph" w:styleId="Footer">
    <w:name w:val="footer"/>
    <w:basedOn w:val="Normal"/>
    <w:link w:val="FooterChar"/>
    <w:uiPriority w:val="99"/>
    <w:pPr>
      <w:tabs>
        <w:tab w:val="center" w:pos="4252"/>
        <w:tab w:val="right" w:pos="8504"/>
      </w:tabs>
      <w:spacing w:after="0" w:line="240" w:lineRule="auto"/>
      <w:jc w:val="left"/>
    </w:pPr>
    <w:rPr>
      <w:lang w:val="es-ES" w:eastAsia="es-ES"/>
    </w:rPr>
  </w:style>
  <w:style w:type="character" w:customStyle="1" w:styleId="FooterChar">
    <w:name w:val="Footer Char"/>
    <w:basedOn w:val="DefaultParagraphFont"/>
    <w:link w:val="Footer"/>
    <w:uiPriority w:val="99"/>
    <w:rPr>
      <w:rFonts w:eastAsia="Times New Roman"/>
      <w:sz w:val="24"/>
      <w:szCs w:val="24"/>
      <w:lang w:val="es-ES" w:eastAsia="es-ES"/>
    </w:rPr>
  </w:style>
  <w:style w:type="character" w:styleId="PageNumber">
    <w:name w:val="page number"/>
    <w:basedOn w:val="DefaultParagraphFont"/>
    <w:uiPriority w:val="99"/>
  </w:style>
  <w:style w:type="paragraph" w:styleId="List">
    <w:name w:val="List"/>
    <w:basedOn w:val="Normal"/>
    <w:uiPriority w:val="99"/>
    <w:pPr>
      <w:spacing w:after="0" w:line="360" w:lineRule="auto"/>
      <w:ind w:left="283" w:hanging="283"/>
    </w:pPr>
    <w:rPr>
      <w:kern w:val="18"/>
      <w:lang w:val="es-ES_tradnl" w:eastAsia="es-ES"/>
    </w:rPr>
  </w:style>
  <w:style w:type="paragraph" w:styleId="Subtitle">
    <w:name w:val="Subtitle"/>
    <w:basedOn w:val="Normal"/>
    <w:link w:val="SubtitleChar"/>
    <w:uiPriority w:val="99"/>
    <w:qFormat/>
    <w:pPr>
      <w:spacing w:after="0" w:line="360" w:lineRule="auto"/>
    </w:pPr>
    <w:rPr>
      <w:rFonts w:ascii="Bookman Old Style" w:hAnsi="Bookman Old Style" w:cs="Bookman Old Style"/>
      <w:b/>
      <w:bCs/>
      <w:kern w:val="18"/>
      <w:lang w:val="es-ES" w:eastAsia="es-ES"/>
    </w:rPr>
  </w:style>
  <w:style w:type="character" w:customStyle="1" w:styleId="SubtitleChar">
    <w:name w:val="Subtitle Char"/>
    <w:basedOn w:val="DefaultParagraphFont"/>
    <w:link w:val="Subtitle"/>
    <w:uiPriority w:val="11"/>
    <w:rsid w:val="00942338"/>
    <w:rPr>
      <w:rFonts w:asciiTheme="majorHAnsi" w:eastAsiaTheme="majorEastAsia" w:hAnsiTheme="majorHAnsi" w:cstheme="majorBidi"/>
      <w:sz w:val="24"/>
      <w:szCs w:val="24"/>
      <w:lang w:val="es-UY" w:eastAsia="en-US"/>
    </w:rPr>
  </w:style>
  <w:style w:type="character" w:customStyle="1" w:styleId="Ttulo2Car">
    <w:name w:val="Título 2 Car"/>
    <w:uiPriority w:val="99"/>
    <w:rPr>
      <w:rFonts w:eastAsia="Times New Roman"/>
      <w:b/>
      <w:bCs/>
      <w:sz w:val="28"/>
      <w:szCs w:val="28"/>
      <w:lang w:val="es-ES" w:eastAsia="es-ES"/>
    </w:rPr>
  </w:style>
  <w:style w:type="character" w:customStyle="1" w:styleId="Ttulo7Car">
    <w:name w:val="Título 7 Car"/>
    <w:uiPriority w:val="99"/>
    <w:rPr>
      <w:rFonts w:eastAsia="Times New Roman"/>
      <w:b/>
      <w:bCs/>
      <w:sz w:val="16"/>
      <w:szCs w:val="16"/>
      <w:lang w:val="es-ES" w:eastAsia="es-ES"/>
    </w:rPr>
  </w:style>
  <w:style w:type="paragraph" w:styleId="Header">
    <w:name w:val="header"/>
    <w:basedOn w:val="Normal"/>
    <w:link w:val="HeaderChar"/>
    <w:uiPriority w:val="99"/>
    <w:pPr>
      <w:tabs>
        <w:tab w:val="center" w:pos="4419"/>
        <w:tab w:val="right" w:pos="8838"/>
      </w:tabs>
      <w:spacing w:after="0" w:line="240" w:lineRule="auto"/>
      <w:jc w:val="left"/>
    </w:pPr>
    <w:rPr>
      <w:lang w:val="es-ES" w:eastAsia="es-ES"/>
    </w:rPr>
  </w:style>
  <w:style w:type="character" w:customStyle="1" w:styleId="HeaderChar">
    <w:name w:val="Header Char"/>
    <w:basedOn w:val="DefaultParagraphFont"/>
    <w:link w:val="Header"/>
    <w:uiPriority w:val="99"/>
    <w:semiHidden/>
    <w:rsid w:val="00942338"/>
    <w:rPr>
      <w:rFonts w:ascii="Arial" w:hAnsi="Arial" w:cs="Arial"/>
      <w:sz w:val="24"/>
      <w:szCs w:val="24"/>
      <w:lang w:val="es-UY" w:eastAsia="en-US"/>
    </w:rPr>
  </w:style>
  <w:style w:type="character" w:customStyle="1" w:styleId="EncabezadoCar">
    <w:name w:val="Encabezado Car"/>
    <w:uiPriority w:val="99"/>
    <w:rPr>
      <w:rFonts w:eastAsia="Times New Roman"/>
      <w:sz w:val="24"/>
      <w:szCs w:val="24"/>
      <w:lang w:val="es-ES" w:eastAsia="es-ES"/>
    </w:rPr>
  </w:style>
  <w:style w:type="character" w:customStyle="1" w:styleId="TextoindependienteCar">
    <w:name w:val="Texto independiente Car"/>
    <w:uiPriority w:val="99"/>
    <w:rPr>
      <w:rFonts w:eastAsia="Times New Roman"/>
      <w:sz w:val="24"/>
      <w:szCs w:val="24"/>
      <w:lang w:val="es-ES" w:eastAsia="es-ES"/>
    </w:rPr>
  </w:style>
  <w:style w:type="character" w:customStyle="1" w:styleId="PiedepginaCar">
    <w:name w:val="Pie de página Car"/>
    <w:uiPriority w:val="99"/>
    <w:rPr>
      <w:rFonts w:eastAsia="Times New Roman"/>
      <w:sz w:val="24"/>
      <w:szCs w:val="24"/>
      <w:lang w:val="es-ES" w:eastAsia="es-ES"/>
    </w:rPr>
  </w:style>
  <w:style w:type="paragraph" w:customStyle="1" w:styleId="Nombredireccin">
    <w:name w:val="Nombre dirección"/>
    <w:basedOn w:val="Normal"/>
    <w:next w:val="Normal"/>
    <w:uiPriority w:val="99"/>
    <w:pPr>
      <w:spacing w:before="220" w:after="0" w:line="240" w:lineRule="atLeast"/>
    </w:pPr>
    <w:rPr>
      <w:kern w:val="18"/>
      <w:lang w:val="es-ES" w:eastAsia="es-ES"/>
    </w:rPr>
  </w:style>
  <w:style w:type="paragraph" w:styleId="BodyTextIndent3">
    <w:name w:val="Body Text Indent 3"/>
    <w:basedOn w:val="Normal"/>
    <w:link w:val="BodyTextIndent3Char"/>
    <w:uiPriority w:val="99"/>
    <w:pPr>
      <w:spacing w:after="0" w:line="240" w:lineRule="auto"/>
      <w:ind w:left="360"/>
    </w:pPr>
    <w:rPr>
      <w:lang w:val="es-MX" w:eastAsia="es-ES"/>
    </w:rPr>
  </w:style>
  <w:style w:type="character" w:customStyle="1" w:styleId="BodyTextIndent3Char">
    <w:name w:val="Body Text Indent 3 Char"/>
    <w:basedOn w:val="DefaultParagraphFont"/>
    <w:link w:val="BodyTextIndent3"/>
    <w:uiPriority w:val="99"/>
    <w:semiHidden/>
    <w:rsid w:val="00942338"/>
    <w:rPr>
      <w:rFonts w:ascii="Arial" w:hAnsi="Arial" w:cs="Arial"/>
      <w:sz w:val="16"/>
      <w:szCs w:val="16"/>
      <w:lang w:val="es-UY" w:eastAsia="en-US"/>
    </w:rPr>
  </w:style>
  <w:style w:type="character" w:customStyle="1" w:styleId="Sangra3detindependienteCar">
    <w:name w:val="Sangría 3 de t. independiente Car"/>
    <w:uiPriority w:val="99"/>
    <w:rPr>
      <w:rFonts w:eastAsia="Times New Roman"/>
      <w:sz w:val="24"/>
      <w:szCs w:val="24"/>
      <w:lang w:val="es-MX" w:eastAsia="es-ES"/>
    </w:rPr>
  </w:style>
  <w:style w:type="paragraph" w:customStyle="1" w:styleId="Textodeglobo">
    <w:name w:val="Texto de globo"/>
    <w:basedOn w:val="Normal"/>
    <w:uiPriority w:val="99"/>
    <w:pPr>
      <w:spacing w:after="0" w:line="240" w:lineRule="auto"/>
    </w:pPr>
    <w:rPr>
      <w:rFonts w:ascii="Tahoma" w:eastAsia="Times New Roman" w:hAnsi="Tahoma" w:cs="Tahoma"/>
      <w:sz w:val="16"/>
      <w:szCs w:val="16"/>
    </w:rPr>
  </w:style>
  <w:style w:type="character" w:customStyle="1" w:styleId="TextodegloboCar">
    <w:name w:val="Texto de globo Car"/>
    <w:uiPriority w:val="99"/>
    <w:rPr>
      <w:rFonts w:ascii="Tahoma" w:hAnsi="Tahoma" w:cs="Tahoma"/>
      <w:sz w:val="16"/>
      <w:szCs w:val="16"/>
      <w:lang w:val="es-UY"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37</Pages>
  <Words>8682</Words>
  <Characters>-32766</Characters>
  <Application>Microsoft Office Outlook</Application>
  <DocSecurity>0</DocSecurity>
  <Lines>0</Lines>
  <Paragraphs>0</Paragraphs>
  <ScaleCrop>false</ScaleCrop>
  <Company>Tribunal de Cuentas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ADOPTADA POR EL</dc:title>
  <dc:subject/>
  <dc:creator>TRIBUNAL1</dc:creator>
  <cp:keywords/>
  <dc:description/>
  <cp:lastModifiedBy>Tribunal1</cp:lastModifiedBy>
  <cp:revision>2</cp:revision>
  <cp:lastPrinted>2013-12-18T12:45:00Z</cp:lastPrinted>
  <dcterms:created xsi:type="dcterms:W3CDTF">2013-12-27T14:48:00Z</dcterms:created>
  <dcterms:modified xsi:type="dcterms:W3CDTF">2013-12-27T14:48:00Z</dcterms:modified>
</cp:coreProperties>
</file>