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A45" w:rsidRDefault="004D1A45">
      <w:pPr>
        <w:tabs>
          <w:tab w:val="center" w:pos="4253"/>
        </w:tabs>
        <w:suppressAutoHyphens/>
        <w:jc w:val="center"/>
        <w:rPr>
          <w:rFonts w:ascii="Helvetica" w:hAnsi="Helvetica" w:cs="Helvetica"/>
          <w:b/>
          <w:bCs/>
          <w:lang w:val="es-ES_tradnl"/>
        </w:rPr>
      </w:pPr>
      <w:bookmarkStart w:id="0" w:name="_GoBack"/>
      <w:bookmarkEnd w:id="0"/>
      <w:r>
        <w:rPr>
          <w:rFonts w:ascii="Helvetica" w:hAnsi="Helvetica" w:cs="Helvetica"/>
          <w:b/>
          <w:bCs/>
          <w:lang w:val="es-ES_tradnl"/>
        </w:rPr>
        <w:t>RESOLUCION ADOPTADA POR EL</w:t>
      </w:r>
    </w:p>
    <w:p w:rsidR="004D1A45" w:rsidRDefault="004D1A45">
      <w:pPr>
        <w:tabs>
          <w:tab w:val="center" w:pos="4253"/>
        </w:tabs>
        <w:suppressAutoHyphens/>
        <w:jc w:val="center"/>
        <w:rPr>
          <w:rFonts w:ascii="Helvetica" w:hAnsi="Helvetica" w:cs="Helvetica"/>
          <w:b/>
          <w:bCs/>
          <w:lang w:val="es-ES_tradnl"/>
        </w:rPr>
      </w:pPr>
      <w:r>
        <w:rPr>
          <w:rFonts w:ascii="Helvetica" w:hAnsi="Helvetica" w:cs="Helvetica"/>
          <w:b/>
          <w:bCs/>
          <w:lang w:val="es-ES_tradnl"/>
        </w:rPr>
        <w:t>TRIBUNAL DE CUENTAS</w:t>
      </w:r>
    </w:p>
    <w:p w:rsidR="004D1A45" w:rsidRDefault="004D1A45">
      <w:pPr>
        <w:tabs>
          <w:tab w:val="center" w:pos="4253"/>
        </w:tabs>
        <w:suppressAutoHyphens/>
        <w:jc w:val="center"/>
        <w:rPr>
          <w:rFonts w:ascii="Helvetica" w:hAnsi="Helvetica" w:cs="Helvetica"/>
          <w:b/>
          <w:bCs/>
          <w:lang w:val="es-ES_tradnl"/>
        </w:rPr>
      </w:pPr>
      <w:r>
        <w:rPr>
          <w:rFonts w:ascii="Helvetica" w:hAnsi="Helvetica" w:cs="Helvetica"/>
          <w:b/>
          <w:bCs/>
          <w:lang w:val="es-ES_tradnl"/>
        </w:rPr>
        <w:t>EN SESION DE FECHA  11 DE DICIEMBRE  DE   2013</w:t>
      </w:r>
    </w:p>
    <w:p w:rsidR="004D1A45" w:rsidRDefault="004D1A45">
      <w:pPr>
        <w:tabs>
          <w:tab w:val="center" w:pos="4253"/>
        </w:tabs>
        <w:suppressAutoHyphens/>
        <w:jc w:val="center"/>
        <w:rPr>
          <w:rFonts w:ascii="Helvetica" w:hAnsi="Helvetica" w:cs="Helvetica"/>
          <w:b/>
          <w:bCs/>
        </w:rPr>
      </w:pPr>
      <w:r>
        <w:rPr>
          <w:rFonts w:ascii="Helvetica" w:hAnsi="Helvetica" w:cs="Helvetica"/>
          <w:b/>
          <w:bCs/>
          <w:lang w:val="en-GB"/>
        </w:rPr>
        <w:t xml:space="preserve">(E. E. Nº 2013-17-1-0001896, Ent. </w:t>
      </w:r>
      <w:r>
        <w:rPr>
          <w:rFonts w:ascii="Helvetica" w:hAnsi="Helvetica" w:cs="Helvetica"/>
          <w:b/>
          <w:bCs/>
        </w:rPr>
        <w:t>N° 4272/13.)</w:t>
      </w:r>
    </w:p>
    <w:p w:rsidR="004D1A45" w:rsidRDefault="004D1A45">
      <w:pPr>
        <w:tabs>
          <w:tab w:val="center" w:pos="4253"/>
        </w:tabs>
        <w:suppressAutoHyphens/>
        <w:jc w:val="center"/>
        <w:rPr>
          <w:rFonts w:ascii="Times New Roman" w:hAnsi="Times New Roman" w:cs="Times New Roman"/>
          <w:spacing w:val="-3"/>
        </w:rPr>
      </w:pPr>
    </w:p>
    <w:p w:rsidR="004D1A45" w:rsidRDefault="004D1A45">
      <w:pPr>
        <w:spacing w:after="0" w:line="360" w:lineRule="auto"/>
        <w:ind w:firstLine="708"/>
      </w:pPr>
      <w:r>
        <w:rPr>
          <w:b/>
          <w:bCs/>
        </w:rPr>
        <w:t>VISTO:</w:t>
      </w:r>
      <w:r>
        <w:t xml:space="preserve"> que se han examinado los estados financieros consolidados e individuales de la Administración Nacional de Telecomunicaciones (ANTEL), que comprenden los Estados de Situación Patrimonial al 31 de diciembre de 2012, los Estados de Resultados, de Flujos de Efectivo y de Evolución del Patrimonio por el Ejercicio anual terminado en esa fecha, sus Anexos y las Notas Explicativas que los acompañan.</w:t>
      </w:r>
    </w:p>
    <w:p w:rsidR="004D1A45" w:rsidRDefault="004D1A45">
      <w:pPr>
        <w:pStyle w:val="Header"/>
        <w:spacing w:line="360" w:lineRule="auto"/>
        <w:ind w:right="-136" w:firstLine="720"/>
        <w:jc w:val="both"/>
        <w:rPr>
          <w:rFonts w:ascii="Arial" w:hAnsi="Arial" w:cs="Arial"/>
        </w:rPr>
      </w:pPr>
      <w:r>
        <w:rPr>
          <w:rFonts w:ascii="Arial" w:hAnsi="Arial" w:cs="Arial"/>
          <w:b/>
          <w:bCs/>
        </w:rPr>
        <w:tab/>
        <w:t>RESULTANDO:</w:t>
      </w:r>
      <w:r>
        <w:rPr>
          <w:rFonts w:ascii="Arial" w:hAnsi="Arial" w:cs="Arial"/>
        </w:rPr>
        <w:t xml:space="preserve"> que el examen fue realizado, de acuerdo con los Principios Fundamentales de Auditoría (ISASI 100, 200 y 400) y las Directrices de Auditoría Financiera (ISSAI 1000 a 2999) de la Organización Internacional de Entidades Fiscalizadoras Superiores (INTOSAI);</w:t>
      </w:r>
    </w:p>
    <w:p w:rsidR="004D1A45" w:rsidRDefault="004D1A45">
      <w:pPr>
        <w:pStyle w:val="Header"/>
        <w:spacing w:line="360" w:lineRule="auto"/>
        <w:ind w:right="-136" w:firstLine="720"/>
        <w:jc w:val="both"/>
        <w:rPr>
          <w:rFonts w:ascii="Arial" w:hAnsi="Arial" w:cs="Arial"/>
        </w:rPr>
      </w:pPr>
      <w:r>
        <w:rPr>
          <w:rFonts w:ascii="Arial" w:hAnsi="Arial" w:cs="Arial"/>
          <w:b/>
          <w:bCs/>
        </w:rPr>
        <w:t>CONSIDERANDO:</w:t>
      </w:r>
      <w:r>
        <w:rPr>
          <w:rFonts w:ascii="Arial" w:hAnsi="Arial" w:cs="Arial"/>
        </w:rPr>
        <w:t xml:space="preserve"> que las conclusiones y evidencias obtenidas son las que se expresan en el Informe de Auditoría, que incluye los Dictámenes y el Informe a la Administración;</w:t>
      </w:r>
    </w:p>
    <w:p w:rsidR="004D1A45" w:rsidRDefault="004D1A45">
      <w:pPr>
        <w:pStyle w:val="Header"/>
        <w:spacing w:line="360" w:lineRule="auto"/>
        <w:ind w:right="-136" w:firstLine="720"/>
        <w:jc w:val="both"/>
        <w:rPr>
          <w:rFonts w:ascii="Arial" w:hAnsi="Arial" w:cs="Arial"/>
        </w:rPr>
      </w:pPr>
      <w:r>
        <w:rPr>
          <w:rFonts w:ascii="Arial" w:hAnsi="Arial" w:cs="Arial"/>
          <w:b/>
          <w:bCs/>
        </w:rPr>
        <w:t>ATENTO:</w:t>
      </w:r>
      <w:r>
        <w:rPr>
          <w:rFonts w:ascii="Arial" w:hAnsi="Arial" w:cs="Arial"/>
        </w:rPr>
        <w:t xml:space="preserve"> a lo dispuesto por el Artículo 211 Literal C) de la Constitución de la República; </w:t>
      </w:r>
    </w:p>
    <w:p w:rsidR="004D1A45" w:rsidRDefault="004D1A45">
      <w:pPr>
        <w:pStyle w:val="Header"/>
        <w:spacing w:line="360" w:lineRule="auto"/>
        <w:ind w:right="-136" w:firstLine="900"/>
        <w:jc w:val="center"/>
        <w:rPr>
          <w:rFonts w:ascii="Arial" w:hAnsi="Arial" w:cs="Arial"/>
          <w:b/>
          <w:bCs/>
        </w:rPr>
      </w:pPr>
      <w:r>
        <w:rPr>
          <w:rFonts w:ascii="Arial" w:hAnsi="Arial" w:cs="Arial"/>
          <w:b/>
          <w:bCs/>
        </w:rPr>
        <w:t>EL TRIBUNAL ACUERDA</w:t>
      </w:r>
    </w:p>
    <w:p w:rsidR="004D1A45" w:rsidRDefault="004D1A45">
      <w:pPr>
        <w:numPr>
          <w:ilvl w:val="0"/>
          <w:numId w:val="1"/>
        </w:numPr>
        <w:spacing w:after="0" w:line="360" w:lineRule="auto"/>
        <w:ind w:right="-136"/>
        <w:rPr>
          <w:rFonts w:eastAsia="Arial Unicode MS"/>
          <w:lang w:val="es-ES_tradnl"/>
        </w:rPr>
      </w:pPr>
      <w:r>
        <w:rPr>
          <w:rFonts w:eastAsia="Arial Unicode MS"/>
          <w:lang w:val="es-ES_tradnl"/>
        </w:rPr>
        <w:t xml:space="preserve">Emitir su Dictamen Constitucional respecto a los estados financieros de </w:t>
      </w:r>
      <w:r>
        <w:t>la Administración Nacional de Telecomunicaciones (</w:t>
      </w:r>
      <w:r>
        <w:rPr>
          <w:rFonts w:eastAsia="Arial Unicode MS"/>
          <w:lang w:val="es-ES_tradnl"/>
        </w:rPr>
        <w:t>ANTEL), en los términos del Informe de Auditoría que se adjunta;</w:t>
      </w:r>
    </w:p>
    <w:p w:rsidR="004D1A45" w:rsidRDefault="004D1A45">
      <w:pPr>
        <w:numPr>
          <w:ilvl w:val="0"/>
          <w:numId w:val="1"/>
        </w:numPr>
        <w:spacing w:after="0" w:line="360" w:lineRule="auto"/>
        <w:ind w:right="-136"/>
        <w:rPr>
          <w:rFonts w:eastAsia="Arial Unicode MS"/>
          <w:lang w:val="es-ES_tradnl"/>
        </w:rPr>
      </w:pPr>
      <w:r>
        <w:rPr>
          <w:rFonts w:eastAsia="Arial Unicode MS"/>
          <w:lang w:val="es-ES_tradnl"/>
        </w:rPr>
        <w:t>A los efectos dispuestos por el Artículo 1 de la Ley N° 17.040, el Organismo deberá publicar su Balance con el correspondiente Dictamen del Tribunal de Cuentas;</w:t>
      </w:r>
    </w:p>
    <w:p w:rsidR="004D1A45" w:rsidRDefault="004D1A45">
      <w:pPr>
        <w:numPr>
          <w:ilvl w:val="0"/>
          <w:numId w:val="1"/>
        </w:numPr>
        <w:spacing w:after="0" w:line="360" w:lineRule="auto"/>
        <w:ind w:right="-136"/>
        <w:rPr>
          <w:rFonts w:eastAsia="Arial Unicode MS"/>
          <w:lang w:val="es-ES_tradnl"/>
        </w:rPr>
      </w:pPr>
      <w:r>
        <w:rPr>
          <w:rFonts w:eastAsia="Arial Unicode MS"/>
          <w:lang w:val="es-ES_tradnl"/>
        </w:rPr>
        <w:t>Comunicar la presente Resolución al Ministerio de Industria, Energía y Minería, a la Oficina de Planeamiento y Presupuesto y al Organismo; y</w:t>
      </w:r>
    </w:p>
    <w:p w:rsidR="004D1A45" w:rsidRDefault="004D1A45">
      <w:pPr>
        <w:numPr>
          <w:ilvl w:val="0"/>
          <w:numId w:val="1"/>
        </w:numPr>
        <w:spacing w:after="0" w:line="240" w:lineRule="auto"/>
        <w:rPr>
          <w:rFonts w:eastAsia="Arial Unicode MS"/>
          <w:lang w:val="es-ES_tradnl"/>
        </w:rPr>
      </w:pPr>
      <w:r>
        <w:rPr>
          <w:rFonts w:eastAsia="Arial Unicode MS"/>
          <w:lang w:val="es-ES_tradnl"/>
        </w:rPr>
        <w:t>Dar cuenta a la Asamblea General.</w:t>
      </w:r>
    </w:p>
    <w:p w:rsidR="004D1A45" w:rsidRDefault="004D1A45">
      <w:pPr>
        <w:pStyle w:val="Header"/>
        <w:widowControl/>
        <w:suppressLineNumbers w:val="0"/>
        <w:tabs>
          <w:tab w:val="clear" w:pos="4818"/>
          <w:tab w:val="clear" w:pos="9637"/>
        </w:tabs>
        <w:suppressAutoHyphens w:val="0"/>
        <w:rPr>
          <w:rFonts w:ascii="Arial" w:hAnsi="Arial" w:cs="Arial"/>
        </w:rPr>
      </w:pPr>
    </w:p>
    <w:p w:rsidR="004D1A45" w:rsidRDefault="004D1A45">
      <w:pPr>
        <w:pStyle w:val="Title"/>
      </w:pPr>
      <w:r>
        <w:t xml:space="preserve">DICTAMEN </w:t>
      </w:r>
    </w:p>
    <w:p w:rsidR="004D1A45" w:rsidRDefault="004D1A45">
      <w:pPr>
        <w:pStyle w:val="Title"/>
      </w:pPr>
    </w:p>
    <w:p w:rsidR="004D1A45" w:rsidRDefault="004D1A45">
      <w:pPr>
        <w:pStyle w:val="BodyText"/>
        <w:spacing w:before="0" w:line="360" w:lineRule="auto"/>
        <w:rPr>
          <w:rFonts w:ascii="Arial" w:hAnsi="Arial" w:cs="Arial"/>
          <w:color w:val="FF0000"/>
          <w:sz w:val="24"/>
          <w:szCs w:val="24"/>
          <w:lang w:val="es-ES"/>
        </w:rPr>
      </w:pPr>
      <w:r>
        <w:rPr>
          <w:rFonts w:ascii="Arial" w:hAnsi="Arial" w:cs="Arial"/>
          <w:sz w:val="24"/>
          <w:szCs w:val="24"/>
          <w:lang w:val="es-ES"/>
        </w:rPr>
        <w:t>El Tribunal de Cuentas ha examinado los estados financieros consolidados de la Administración Nacional de Telecomunicaciones (ANTEL) que se adjuntan, y comprenden el Estado de Situación Patrimonial Consolidado al 31 de diciembre de 2012, los correspondientes Estados Consolidados de Resultados, de Flujos de Efectivo y de Evolución del Patrimonio por el Ejercicio anual finalizado en esa fecha, los Anexos y las Notas de políticas contables significativas y otras notas explicativas a los Estados Financieros.</w:t>
      </w:r>
    </w:p>
    <w:p w:rsidR="004D1A45" w:rsidRDefault="004D1A45">
      <w:pPr>
        <w:pStyle w:val="BodyText"/>
        <w:tabs>
          <w:tab w:val="num" w:pos="142"/>
        </w:tabs>
        <w:spacing w:before="0" w:line="360" w:lineRule="auto"/>
        <w:rPr>
          <w:rFonts w:ascii="Arial" w:hAnsi="Arial" w:cs="Arial"/>
          <w:sz w:val="24"/>
          <w:szCs w:val="24"/>
          <w:lang w:val="es-ES"/>
        </w:rPr>
      </w:pPr>
      <w:r>
        <w:rPr>
          <w:rFonts w:ascii="Arial" w:hAnsi="Arial" w:cs="Arial"/>
          <w:sz w:val="24"/>
          <w:szCs w:val="24"/>
          <w:lang w:val="es-ES"/>
        </w:rPr>
        <w:t>El Tribunal de Cuentas también ha examinado el cumplimiento por parte de ANTEL de las disposiciones legales vigentes.</w:t>
      </w:r>
    </w:p>
    <w:p w:rsidR="004D1A45" w:rsidRDefault="004D1A45">
      <w:pPr>
        <w:pStyle w:val="BodyText"/>
        <w:tabs>
          <w:tab w:val="num" w:pos="142"/>
        </w:tabs>
        <w:spacing w:before="0" w:line="360" w:lineRule="auto"/>
        <w:rPr>
          <w:rFonts w:ascii="Arial" w:hAnsi="Arial" w:cs="Arial"/>
          <w:b/>
          <w:bCs/>
          <w:sz w:val="24"/>
          <w:szCs w:val="24"/>
          <w:lang w:val="es-ES"/>
        </w:rPr>
      </w:pPr>
      <w:r>
        <w:rPr>
          <w:rFonts w:ascii="Arial" w:hAnsi="Arial" w:cs="Arial"/>
          <w:b/>
          <w:bCs/>
          <w:sz w:val="24"/>
          <w:szCs w:val="24"/>
          <w:lang w:val="es-ES"/>
        </w:rPr>
        <w:t>Responsabilidad de la Dirección por los Estados Financieros</w:t>
      </w:r>
    </w:p>
    <w:p w:rsidR="004D1A45" w:rsidRDefault="004D1A45">
      <w:pPr>
        <w:pStyle w:val="BodyText"/>
        <w:spacing w:before="0" w:line="360" w:lineRule="auto"/>
        <w:rPr>
          <w:rFonts w:ascii="Arial" w:hAnsi="Arial" w:cs="Arial"/>
          <w:sz w:val="24"/>
          <w:szCs w:val="24"/>
          <w:lang w:val="es-ES"/>
        </w:rPr>
      </w:pPr>
      <w:r>
        <w:rPr>
          <w:rFonts w:ascii="Arial" w:hAnsi="Arial" w:cs="Arial"/>
          <w:sz w:val="24"/>
          <w:szCs w:val="24"/>
          <w:lang w:val="es-ES"/>
        </w:rPr>
        <w:t>La Dirección de ANTEL es responsable por la preparación y la razonable presentación de estos Estados Financieros, de acuerdo con normas contables adecuadas en Uruguay y la Ordenanza N° 81 del Tribunal de Cuentas.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4D1A45" w:rsidRDefault="004D1A45">
      <w:pPr>
        <w:pStyle w:val="BodyText"/>
        <w:spacing w:before="0" w:line="360" w:lineRule="auto"/>
        <w:rPr>
          <w:rFonts w:ascii="Arial" w:hAnsi="Arial" w:cs="Arial"/>
          <w:b/>
          <w:bCs/>
          <w:sz w:val="24"/>
          <w:szCs w:val="24"/>
          <w:lang w:val="es-ES"/>
        </w:rPr>
      </w:pPr>
      <w:r>
        <w:rPr>
          <w:rFonts w:ascii="Arial" w:hAnsi="Arial" w:cs="Arial"/>
          <w:b/>
          <w:bCs/>
          <w:sz w:val="24"/>
          <w:szCs w:val="24"/>
          <w:lang w:val="es-ES"/>
        </w:rPr>
        <w:t>Responsabilidad del auditor</w:t>
      </w:r>
    </w:p>
    <w:p w:rsidR="004D1A45" w:rsidRDefault="004D1A45">
      <w:pPr>
        <w:pStyle w:val="BodyText"/>
        <w:spacing w:before="0" w:line="360" w:lineRule="auto"/>
        <w:rPr>
          <w:rFonts w:ascii="Arial" w:hAnsi="Arial" w:cs="Arial"/>
          <w:sz w:val="24"/>
          <w:szCs w:val="24"/>
          <w:lang w:val="es-ES"/>
        </w:rPr>
      </w:pPr>
      <w:r>
        <w:rPr>
          <w:rFonts w:ascii="Arial" w:hAnsi="Arial" w:cs="Arial"/>
          <w:sz w:val="24"/>
          <w:szCs w:val="24"/>
          <w:lang w:val="es-ES"/>
        </w:rPr>
        <w:t>La responsabilidad del Tribunal de Cuentas es expresar una opinión sobre dichos estados financieros basada en la auditoría realizada. Esta auditoría fue practicada de acuerdo a los principios fundamentales de Auditoria (ISSAI 100, 200, 400) y las Directrices de Auditoria Financieras (ISSAI 1000 A2999) de la Organización Internacional de Entidades Fiscalizadoras Superiores (INTOSAI). Estas normas requieren que se cumpla con requisitos éticos, se planifique y se realice la auditoría para obtener seguridad razonable acerca de si los estados financieros están libres de errores significativos.</w:t>
      </w:r>
    </w:p>
    <w:p w:rsidR="004D1A45" w:rsidRDefault="004D1A45">
      <w:pPr>
        <w:pStyle w:val="BodyText"/>
        <w:spacing w:before="0" w:line="360" w:lineRule="auto"/>
        <w:rPr>
          <w:rFonts w:ascii="Arial" w:hAnsi="Arial" w:cs="Arial"/>
          <w:sz w:val="24"/>
          <w:szCs w:val="24"/>
          <w:lang w:val="es-ES"/>
        </w:rPr>
      </w:pPr>
      <w:r>
        <w:rPr>
          <w:rFonts w:ascii="Arial" w:hAnsi="Arial" w:cs="Arial"/>
          <w:sz w:val="24"/>
          <w:szCs w:val="24"/>
          <w:lang w:val="es-ES"/>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4D1A45" w:rsidRDefault="004D1A45">
      <w:pPr>
        <w:pStyle w:val="BodyText"/>
        <w:spacing w:before="0" w:line="360" w:lineRule="auto"/>
        <w:rPr>
          <w:rFonts w:ascii="Arial" w:hAnsi="Arial" w:cs="Arial"/>
          <w:sz w:val="24"/>
          <w:szCs w:val="24"/>
          <w:lang w:val="es-ES"/>
        </w:rPr>
      </w:pPr>
      <w:r>
        <w:rPr>
          <w:rFonts w:ascii="Arial" w:hAnsi="Arial" w:cs="Arial"/>
          <w:sz w:val="24"/>
          <w:szCs w:val="24"/>
          <w:lang w:val="es-ES"/>
        </w:rPr>
        <w:t>Se considera que la evidencia de auditoría obtenida brinda una base suficiente y apropiada para sustentar la opinión.</w:t>
      </w:r>
    </w:p>
    <w:p w:rsidR="004D1A45" w:rsidRDefault="004D1A45">
      <w:pPr>
        <w:pStyle w:val="BodyText"/>
        <w:spacing w:before="0" w:line="360" w:lineRule="auto"/>
        <w:jc w:val="left"/>
        <w:rPr>
          <w:rFonts w:ascii="Arial" w:hAnsi="Arial" w:cs="Arial"/>
          <w:b/>
          <w:bCs/>
          <w:sz w:val="24"/>
          <w:szCs w:val="24"/>
          <w:lang w:val="es-ES"/>
        </w:rPr>
      </w:pPr>
      <w:r>
        <w:rPr>
          <w:rFonts w:ascii="Arial" w:hAnsi="Arial" w:cs="Arial"/>
          <w:b/>
          <w:bCs/>
          <w:sz w:val="24"/>
          <w:szCs w:val="24"/>
          <w:lang w:val="es-ES"/>
        </w:rPr>
        <w:t>Opinión</w:t>
      </w:r>
    </w:p>
    <w:p w:rsidR="004D1A45" w:rsidRDefault="004D1A45">
      <w:pPr>
        <w:pStyle w:val="BodyText"/>
        <w:spacing w:before="0" w:line="360" w:lineRule="auto"/>
        <w:rPr>
          <w:rFonts w:ascii="Arial" w:hAnsi="Arial" w:cs="Arial"/>
          <w:b/>
          <w:bCs/>
          <w:sz w:val="24"/>
          <w:szCs w:val="24"/>
          <w:lang w:val="es-ES"/>
        </w:rPr>
      </w:pPr>
      <w:r>
        <w:rPr>
          <w:rFonts w:ascii="Arial" w:hAnsi="Arial" w:cs="Arial"/>
          <w:sz w:val="24"/>
          <w:szCs w:val="24"/>
        </w:rPr>
        <w:t>En opinión del Tribunal de Cuentas, los estados financieros referidos precedentemente presentan razonablemente, en todos sus aspectos importantes, la situación patrimonial consolidada de ANTEL al 31 de diciembre de 2012, los resultados consolidados de sus operaciones, los flujos de efectivos consolidados y la evolución del patrimonio consolidado correspondientes al Ejercicio anual terminado en esa fecha, de</w:t>
      </w:r>
      <w:r>
        <w:rPr>
          <w:rFonts w:ascii="Arial" w:hAnsi="Arial" w:cs="Arial"/>
          <w:sz w:val="24"/>
          <w:szCs w:val="24"/>
          <w:lang w:val="es-ES"/>
        </w:rPr>
        <w:t xml:space="preserve"> acuerdo con normas contables adecuadas en Uruguay y a la Ordenanza N° 81 del Tribunal de Cuentas.</w:t>
      </w:r>
      <w:r>
        <w:rPr>
          <w:rFonts w:ascii="Arial" w:hAnsi="Arial" w:cs="Arial"/>
          <w:b/>
          <w:bCs/>
          <w:sz w:val="24"/>
          <w:szCs w:val="24"/>
          <w:lang w:val="es-ES"/>
        </w:rPr>
        <w:t xml:space="preserve"> </w:t>
      </w:r>
    </w:p>
    <w:p w:rsidR="004D1A45" w:rsidRDefault="004D1A45">
      <w:pPr>
        <w:pStyle w:val="BodyText"/>
        <w:spacing w:before="0" w:line="360" w:lineRule="auto"/>
        <w:rPr>
          <w:rFonts w:ascii="Arial" w:hAnsi="Arial" w:cs="Arial"/>
          <w:b/>
          <w:bCs/>
          <w:sz w:val="24"/>
          <w:szCs w:val="24"/>
          <w:lang w:val="es-ES"/>
        </w:rPr>
      </w:pPr>
    </w:p>
    <w:p w:rsidR="004D1A45" w:rsidRDefault="004D1A45">
      <w:pPr>
        <w:pStyle w:val="BodyText"/>
        <w:spacing w:before="0" w:line="360" w:lineRule="auto"/>
        <w:rPr>
          <w:rFonts w:ascii="Arial" w:hAnsi="Arial" w:cs="Arial"/>
          <w:sz w:val="24"/>
          <w:szCs w:val="24"/>
          <w:lang w:val="es-ES"/>
        </w:rPr>
      </w:pPr>
      <w:r>
        <w:rPr>
          <w:rFonts w:ascii="Arial" w:hAnsi="Arial" w:cs="Arial"/>
          <w:b/>
          <w:bCs/>
          <w:sz w:val="24"/>
          <w:szCs w:val="24"/>
          <w:lang w:val="es-ES"/>
        </w:rPr>
        <w:t>Con relación a las disposiciones legales y reglamentarias, se reitera el incumplimiento señalado en ejercicios anteriores</w:t>
      </w:r>
      <w:r>
        <w:rPr>
          <w:rFonts w:ascii="Arial" w:hAnsi="Arial" w:cs="Arial"/>
          <w:sz w:val="24"/>
          <w:szCs w:val="24"/>
          <w:lang w:val="es-ES"/>
        </w:rPr>
        <w:t>:</w:t>
      </w:r>
    </w:p>
    <w:p w:rsidR="004D1A45" w:rsidRDefault="004D1A45">
      <w:pPr>
        <w:pStyle w:val="BodyText"/>
        <w:numPr>
          <w:ilvl w:val="0"/>
          <w:numId w:val="2"/>
        </w:numPr>
        <w:spacing w:before="0" w:line="360" w:lineRule="auto"/>
        <w:rPr>
          <w:rFonts w:ascii="Arial" w:hAnsi="Arial" w:cs="Arial"/>
          <w:b/>
          <w:bCs/>
          <w:sz w:val="24"/>
          <w:szCs w:val="24"/>
          <w:lang w:val="es-ES"/>
        </w:rPr>
      </w:pPr>
      <w:r>
        <w:rPr>
          <w:rFonts w:ascii="Arial" w:hAnsi="Arial" w:cs="Arial"/>
          <w:b/>
          <w:bCs/>
          <w:sz w:val="24"/>
          <w:szCs w:val="24"/>
          <w:lang w:val="es-ES"/>
        </w:rPr>
        <w:t>Artículo No. 33 del TOCAF (Procedimiento de Contratación)</w:t>
      </w:r>
    </w:p>
    <w:p w:rsidR="004D1A45" w:rsidRDefault="004D1A45">
      <w:pPr>
        <w:pStyle w:val="BodyText"/>
        <w:spacing w:before="0" w:line="360" w:lineRule="auto"/>
        <w:rPr>
          <w:rFonts w:ascii="Arial" w:hAnsi="Arial" w:cs="Arial"/>
          <w:sz w:val="24"/>
          <w:szCs w:val="24"/>
          <w:lang w:val="es-ES"/>
        </w:rPr>
      </w:pPr>
      <w:r>
        <w:rPr>
          <w:rFonts w:ascii="Arial" w:hAnsi="Arial" w:cs="Arial"/>
          <w:sz w:val="24"/>
          <w:szCs w:val="24"/>
          <w:lang w:val="es-ES"/>
        </w:rPr>
        <w:t>Se contrataron agentes telefónicos y fleteros incumpliendo lo dispuesto por el mencionado Artículo.</w:t>
      </w:r>
    </w:p>
    <w:p w:rsidR="004D1A45" w:rsidRDefault="004D1A45">
      <w:pPr>
        <w:pStyle w:val="BodyText"/>
        <w:spacing w:before="0" w:line="360" w:lineRule="auto"/>
        <w:rPr>
          <w:rFonts w:ascii="Arial" w:hAnsi="Arial" w:cs="Arial"/>
          <w:sz w:val="24"/>
          <w:szCs w:val="24"/>
          <w:lang w:val="es-ES"/>
        </w:rPr>
      </w:pPr>
    </w:p>
    <w:p w:rsidR="004D1A45" w:rsidRDefault="004D1A45">
      <w:pPr>
        <w:pStyle w:val="BodyText3"/>
        <w:tabs>
          <w:tab w:val="num" w:pos="142"/>
        </w:tabs>
        <w:jc w:val="right"/>
        <w:rPr>
          <w:lang w:val="es-UY"/>
        </w:rPr>
      </w:pPr>
      <w:r>
        <w:rPr>
          <w:lang w:val="es-UY"/>
        </w:rPr>
        <w:t>Montevideo, 27 de noviembre de 2013.</w:t>
      </w:r>
    </w:p>
    <w:p w:rsidR="004D1A45" w:rsidRDefault="004D1A45">
      <w:pPr>
        <w:pStyle w:val="BodyText3"/>
        <w:tabs>
          <w:tab w:val="num" w:pos="142"/>
        </w:tabs>
        <w:jc w:val="right"/>
        <w:rPr>
          <w:lang w:val="es-UY"/>
        </w:rPr>
      </w:pPr>
    </w:p>
    <w:p w:rsidR="004D1A45" w:rsidRDefault="004D1A45">
      <w:pPr>
        <w:rPr>
          <w:rFonts w:ascii="Times New Roman" w:hAnsi="Times New Roman" w:cs="Times New Roman"/>
          <w:lang w:val="es-ES_tradnl"/>
        </w:rPr>
      </w:pPr>
    </w:p>
    <w:p w:rsidR="004D1A45" w:rsidRDefault="004D1A45">
      <w:pPr>
        <w:rPr>
          <w:rFonts w:ascii="Times New Roman" w:hAnsi="Times New Roman" w:cs="Times New Roman"/>
          <w:lang w:val="es-ES_tradnl"/>
        </w:rPr>
      </w:pPr>
    </w:p>
    <w:p w:rsidR="004D1A45" w:rsidRDefault="004D1A45">
      <w:pPr>
        <w:pStyle w:val="Title"/>
      </w:pPr>
      <w:r>
        <w:t xml:space="preserve">DICTAMEN </w:t>
      </w:r>
    </w:p>
    <w:p w:rsidR="004D1A45" w:rsidRDefault="004D1A45">
      <w:pPr>
        <w:pStyle w:val="BodyText"/>
        <w:spacing w:before="0" w:line="360" w:lineRule="auto"/>
        <w:rPr>
          <w:rFonts w:ascii="Arial" w:hAnsi="Arial" w:cs="Arial"/>
          <w:sz w:val="24"/>
          <w:szCs w:val="24"/>
          <w:lang w:val="es-ES"/>
        </w:rPr>
      </w:pPr>
    </w:p>
    <w:p w:rsidR="004D1A45" w:rsidRDefault="004D1A45">
      <w:pPr>
        <w:pStyle w:val="BodyText"/>
        <w:spacing w:before="0" w:line="360" w:lineRule="auto"/>
        <w:rPr>
          <w:rFonts w:ascii="Arial" w:hAnsi="Arial" w:cs="Arial"/>
          <w:sz w:val="24"/>
          <w:szCs w:val="24"/>
          <w:lang w:val="es-ES"/>
        </w:rPr>
      </w:pPr>
      <w:r>
        <w:rPr>
          <w:rFonts w:ascii="Arial" w:hAnsi="Arial" w:cs="Arial"/>
          <w:sz w:val="24"/>
          <w:szCs w:val="24"/>
          <w:lang w:val="es-ES"/>
        </w:rPr>
        <w:t xml:space="preserve">El Tribunal de Cuentas ha examinado los estados financieros individuales de la Administración Nacional de Telecomunicaciones (ANTEL) que se adjuntan y comprenden el Estado de Situación Patrimonial al 31 de diciembre de 2012, los correspondientes Estados de Resultados, de Flujos de Efectivo y de Evolución del Patrimonio por el Ejercicio anual finalizado en esa fecha, los Anexos y las Notas de políticas contables significativas y otras Notas explicativas a los Estados Financieros. </w:t>
      </w:r>
    </w:p>
    <w:p w:rsidR="004D1A45" w:rsidRDefault="004D1A45">
      <w:pPr>
        <w:pStyle w:val="BodyText"/>
        <w:tabs>
          <w:tab w:val="num" w:pos="142"/>
        </w:tabs>
        <w:spacing w:before="0" w:line="360" w:lineRule="auto"/>
        <w:rPr>
          <w:rFonts w:ascii="Arial" w:hAnsi="Arial" w:cs="Arial"/>
          <w:sz w:val="24"/>
          <w:szCs w:val="24"/>
          <w:lang w:val="es-ES"/>
        </w:rPr>
      </w:pPr>
      <w:r>
        <w:rPr>
          <w:rFonts w:ascii="Arial" w:hAnsi="Arial" w:cs="Arial"/>
          <w:sz w:val="24"/>
          <w:szCs w:val="24"/>
          <w:lang w:val="es-ES"/>
        </w:rPr>
        <w:t>El Tribunal de Cuentas también ha examinado el cumplimiento por parte de ANTEL de las disposiciones legales vigentes.</w:t>
      </w:r>
    </w:p>
    <w:p w:rsidR="004D1A45" w:rsidRDefault="004D1A45">
      <w:pPr>
        <w:pStyle w:val="BodyText"/>
        <w:tabs>
          <w:tab w:val="num" w:pos="142"/>
        </w:tabs>
        <w:spacing w:before="0" w:line="360" w:lineRule="auto"/>
        <w:jc w:val="left"/>
        <w:rPr>
          <w:rFonts w:ascii="Arial" w:hAnsi="Arial" w:cs="Arial"/>
          <w:b/>
          <w:bCs/>
          <w:sz w:val="24"/>
          <w:szCs w:val="24"/>
          <w:lang w:val="es-ES"/>
        </w:rPr>
      </w:pPr>
      <w:r>
        <w:rPr>
          <w:rFonts w:ascii="Arial" w:hAnsi="Arial" w:cs="Arial"/>
          <w:b/>
          <w:bCs/>
          <w:sz w:val="24"/>
          <w:szCs w:val="24"/>
          <w:lang w:val="es-ES"/>
        </w:rPr>
        <w:t>Responsabilidad de la Dirección por los Estados Financieros</w:t>
      </w:r>
    </w:p>
    <w:p w:rsidR="004D1A45" w:rsidRDefault="004D1A45">
      <w:pPr>
        <w:pStyle w:val="BodyText"/>
        <w:spacing w:before="0" w:line="360" w:lineRule="auto"/>
        <w:rPr>
          <w:rFonts w:ascii="Arial" w:hAnsi="Arial" w:cs="Arial"/>
          <w:sz w:val="24"/>
          <w:szCs w:val="24"/>
          <w:lang w:val="es-ES"/>
        </w:rPr>
      </w:pPr>
      <w:r>
        <w:rPr>
          <w:rFonts w:ascii="Arial" w:hAnsi="Arial" w:cs="Arial"/>
          <w:sz w:val="24"/>
          <w:szCs w:val="24"/>
          <w:lang w:val="es-ES"/>
        </w:rPr>
        <w:t>La Dirección de ANTEL es responsable por la preparación y la razonable presentación de estos estados financieros, de acuerdo con normas contables adecuadas en Uruguay y la Ordenanza N° 81 del Tribunal de Cuentas.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4D1A45" w:rsidRDefault="004D1A45">
      <w:pPr>
        <w:pStyle w:val="BodyText"/>
        <w:spacing w:before="0" w:line="360" w:lineRule="auto"/>
        <w:jc w:val="left"/>
        <w:rPr>
          <w:rFonts w:ascii="Arial" w:hAnsi="Arial" w:cs="Arial"/>
          <w:b/>
          <w:bCs/>
          <w:sz w:val="24"/>
          <w:szCs w:val="24"/>
          <w:lang w:val="es-ES"/>
        </w:rPr>
      </w:pPr>
      <w:r>
        <w:rPr>
          <w:rFonts w:ascii="Arial" w:hAnsi="Arial" w:cs="Arial"/>
          <w:b/>
          <w:bCs/>
          <w:sz w:val="24"/>
          <w:szCs w:val="24"/>
          <w:lang w:val="es-ES"/>
        </w:rPr>
        <w:t xml:space="preserve">Responsabilidad del auditor </w:t>
      </w:r>
    </w:p>
    <w:p w:rsidR="004D1A45" w:rsidRDefault="004D1A45">
      <w:pPr>
        <w:pStyle w:val="BodyText"/>
        <w:spacing w:before="0" w:line="360" w:lineRule="auto"/>
        <w:rPr>
          <w:rFonts w:ascii="Arial" w:hAnsi="Arial" w:cs="Arial"/>
          <w:sz w:val="24"/>
          <w:szCs w:val="24"/>
          <w:lang w:val="es-ES"/>
        </w:rPr>
      </w:pPr>
      <w:r>
        <w:rPr>
          <w:rFonts w:ascii="Arial" w:hAnsi="Arial" w:cs="Arial"/>
          <w:sz w:val="24"/>
          <w:szCs w:val="24"/>
          <w:lang w:val="es-ES"/>
        </w:rPr>
        <w:t>La responsabilidad del Tribunal de Cuentas es expresar una opinión sobre dichos estados financieros basada en la auditoría realizada. Esta auditoría fue practicada de acuerdo a los principios fundamentales de Auditoria (ISSAI 100, 200,400) y las Directrices de Auditoria Financieras (ISSAI 1000 A2999) de la Organización Internacional de Entidades Fiscalizadoras Superiores (INTOSAI). Estas normas requieren que se cumpla con requisitos éticos, se planifique y se realice la auditoría para obtener seguridad razonable acerca de si los estados financieros están libres de errores significativos.</w:t>
      </w:r>
    </w:p>
    <w:p w:rsidR="004D1A45" w:rsidRDefault="004D1A45">
      <w:pPr>
        <w:pStyle w:val="BodyText"/>
        <w:spacing w:before="0" w:line="360" w:lineRule="auto"/>
        <w:rPr>
          <w:rFonts w:ascii="Arial" w:hAnsi="Arial" w:cs="Arial"/>
          <w:sz w:val="24"/>
          <w:szCs w:val="24"/>
          <w:lang w:val="es-ES"/>
        </w:rPr>
      </w:pPr>
      <w:r>
        <w:rPr>
          <w:rFonts w:ascii="Arial" w:hAnsi="Arial" w:cs="Arial"/>
          <w:sz w:val="24"/>
          <w:szCs w:val="24"/>
          <w:lang w:val="es-ES"/>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4D1A45" w:rsidRDefault="004D1A45">
      <w:pPr>
        <w:pStyle w:val="BodyText"/>
        <w:spacing w:before="0" w:line="360" w:lineRule="auto"/>
        <w:rPr>
          <w:rFonts w:ascii="Arial" w:hAnsi="Arial" w:cs="Arial"/>
          <w:sz w:val="24"/>
          <w:szCs w:val="24"/>
          <w:lang w:val="es-ES"/>
        </w:rPr>
      </w:pPr>
      <w:r>
        <w:rPr>
          <w:rFonts w:ascii="Arial" w:hAnsi="Arial" w:cs="Arial"/>
          <w:sz w:val="24"/>
          <w:szCs w:val="24"/>
          <w:lang w:val="es-ES"/>
        </w:rPr>
        <w:t>Se considera que la evidencia de auditoría obtenida brinda una base suficiente y apropiada para sustentar la opinión.</w:t>
      </w:r>
    </w:p>
    <w:p w:rsidR="004D1A45" w:rsidRDefault="004D1A45">
      <w:pPr>
        <w:pStyle w:val="BodyText"/>
        <w:spacing w:before="0" w:line="360" w:lineRule="auto"/>
        <w:jc w:val="left"/>
        <w:rPr>
          <w:rFonts w:ascii="Arial" w:hAnsi="Arial" w:cs="Arial"/>
          <w:b/>
          <w:bCs/>
          <w:sz w:val="24"/>
          <w:szCs w:val="24"/>
          <w:lang w:val="es-ES"/>
        </w:rPr>
      </w:pPr>
      <w:r>
        <w:rPr>
          <w:rFonts w:ascii="Arial" w:hAnsi="Arial" w:cs="Arial"/>
          <w:b/>
          <w:bCs/>
          <w:sz w:val="24"/>
          <w:szCs w:val="24"/>
          <w:lang w:val="es-ES"/>
        </w:rPr>
        <w:t>Opinión</w:t>
      </w:r>
    </w:p>
    <w:p w:rsidR="004D1A45" w:rsidRDefault="004D1A45">
      <w:pPr>
        <w:pStyle w:val="BodyText"/>
        <w:spacing w:before="0" w:line="360" w:lineRule="auto"/>
        <w:rPr>
          <w:rFonts w:ascii="Arial" w:hAnsi="Arial" w:cs="Arial"/>
          <w:sz w:val="24"/>
          <w:szCs w:val="24"/>
          <w:lang w:val="es-ES"/>
        </w:rPr>
      </w:pPr>
      <w:r>
        <w:rPr>
          <w:rFonts w:ascii="Arial" w:hAnsi="Arial" w:cs="Arial"/>
          <w:sz w:val="24"/>
          <w:szCs w:val="24"/>
        </w:rPr>
        <w:t>En opinión del Tribunal de Cuentas, los estados financieros referidos precedentemente, presentan razonablemente, en todos sus aspectos importantes, la situación patrimonial de ANTEL al 31 de diciembre de 2012, los resultados de sus operaciones, el flujo de efectivo y la evolución del patrimonio neto de ANTEL correspondientes al Ejercicio anual terminado en esa fecha, de</w:t>
      </w:r>
      <w:r>
        <w:rPr>
          <w:rFonts w:ascii="Arial" w:hAnsi="Arial" w:cs="Arial"/>
          <w:sz w:val="24"/>
          <w:szCs w:val="24"/>
          <w:lang w:val="es-ES"/>
        </w:rPr>
        <w:t xml:space="preserve"> acuerdo con normas contables adecuadas en Uruguay y a la Ordenanza N° 81 del Tribunal de Cuentas.</w:t>
      </w:r>
    </w:p>
    <w:p w:rsidR="004D1A45" w:rsidRDefault="004D1A45">
      <w:pPr>
        <w:pStyle w:val="BodyText"/>
        <w:spacing w:before="0" w:line="360" w:lineRule="auto"/>
        <w:rPr>
          <w:rFonts w:ascii="Arial" w:hAnsi="Arial" w:cs="Arial"/>
          <w:sz w:val="24"/>
          <w:szCs w:val="24"/>
          <w:lang w:val="es-ES"/>
        </w:rPr>
      </w:pPr>
      <w:r>
        <w:rPr>
          <w:rFonts w:ascii="Arial" w:hAnsi="Arial" w:cs="Arial"/>
          <w:sz w:val="24"/>
          <w:szCs w:val="24"/>
          <w:lang w:val="es-ES"/>
        </w:rPr>
        <w:t>El cumplimiento de las disposiciones legales y reglamentarias vigentes fue expuesto en el Dictamen de los Estados Financieros Consolidados.</w:t>
      </w:r>
    </w:p>
    <w:p w:rsidR="004D1A45" w:rsidRDefault="004D1A45">
      <w:pPr>
        <w:pStyle w:val="BodyText"/>
        <w:spacing w:before="0" w:line="360" w:lineRule="auto"/>
        <w:jc w:val="right"/>
        <w:rPr>
          <w:rFonts w:ascii="Arial" w:hAnsi="Arial" w:cs="Arial"/>
          <w:sz w:val="24"/>
          <w:szCs w:val="24"/>
          <w:lang w:val="es-ES"/>
        </w:rPr>
      </w:pPr>
      <w:r>
        <w:rPr>
          <w:rFonts w:ascii="Arial" w:hAnsi="Arial" w:cs="Arial"/>
          <w:sz w:val="24"/>
          <w:szCs w:val="24"/>
          <w:lang w:val="es-ES"/>
        </w:rPr>
        <w:t>Montevideo, 27 de noviembre de 2013.</w:t>
      </w:r>
    </w:p>
    <w:p w:rsidR="004D1A45" w:rsidRDefault="004D1A45">
      <w:pPr>
        <w:pStyle w:val="BodyText"/>
        <w:spacing w:before="0" w:line="360" w:lineRule="auto"/>
        <w:rPr>
          <w:rFonts w:ascii="Arial" w:hAnsi="Arial" w:cs="Arial"/>
          <w:sz w:val="24"/>
          <w:szCs w:val="24"/>
          <w:lang w:val="es-ES"/>
        </w:rPr>
      </w:pPr>
    </w:p>
    <w:p w:rsidR="004D1A45" w:rsidRDefault="004D1A45">
      <w:pPr>
        <w:spacing w:line="360" w:lineRule="auto"/>
        <w:jc w:val="center"/>
        <w:rPr>
          <w:b/>
          <w:bCs/>
        </w:rPr>
      </w:pPr>
      <w:r>
        <w:rPr>
          <w:b/>
          <w:bCs/>
        </w:rPr>
        <w:t>INFORME A LA ADMINISTRACIÓN</w:t>
      </w:r>
    </w:p>
    <w:p w:rsidR="004D1A45" w:rsidRDefault="004D1A45">
      <w:pPr>
        <w:pStyle w:val="BodyText"/>
        <w:spacing w:before="0" w:line="360" w:lineRule="auto"/>
        <w:rPr>
          <w:rFonts w:ascii="Arial" w:hAnsi="Arial" w:cs="Arial"/>
          <w:sz w:val="24"/>
          <w:szCs w:val="24"/>
          <w:lang w:val="es-ES"/>
        </w:rPr>
      </w:pPr>
      <w:r>
        <w:rPr>
          <w:rFonts w:ascii="Arial" w:hAnsi="Arial" w:cs="Arial"/>
          <w:sz w:val="24"/>
          <w:szCs w:val="24"/>
          <w:lang w:val="es-ES"/>
        </w:rPr>
        <w:t>El Tribunal de Cuentas ha examinado los estados financieros consolidados e individuales de la Administración Nacional de Telecomunicaciones (ANTEL), por el Ejercicio finalizado el 31 de diciembre de 2012, y ha emitido sus Dictámenes.</w:t>
      </w:r>
    </w:p>
    <w:p w:rsidR="004D1A45" w:rsidRDefault="004D1A45">
      <w:pPr>
        <w:pStyle w:val="BodyText"/>
        <w:spacing w:before="0" w:line="360" w:lineRule="auto"/>
        <w:rPr>
          <w:rFonts w:ascii="Arial" w:hAnsi="Arial" w:cs="Arial"/>
          <w:sz w:val="24"/>
          <w:szCs w:val="24"/>
          <w:lang w:val="es-ES"/>
        </w:rPr>
      </w:pPr>
      <w:r>
        <w:rPr>
          <w:rFonts w:ascii="Arial" w:hAnsi="Arial" w:cs="Arial"/>
          <w:sz w:val="24"/>
          <w:szCs w:val="24"/>
          <w:lang w:val="es-ES"/>
        </w:rPr>
        <w:t>Este informe contiene consideraciones relativas a la evaluación del sistema de control interno. Se incluyen, además, comentarios que se ha entendido conveniente exponer, relacionados a la situación de determinados capítulos y rubros de los estados examinados y a disposiciones legales vigentes.</w:t>
      </w:r>
    </w:p>
    <w:p w:rsidR="004D1A45" w:rsidRDefault="004D1A45">
      <w:pPr>
        <w:pStyle w:val="BodyText"/>
        <w:spacing w:before="0" w:after="0" w:line="360" w:lineRule="auto"/>
        <w:rPr>
          <w:rFonts w:ascii="Arial" w:hAnsi="Arial" w:cs="Arial"/>
          <w:sz w:val="24"/>
          <w:szCs w:val="24"/>
          <w:lang w:val="es-ES"/>
        </w:rPr>
      </w:pPr>
      <w:r>
        <w:rPr>
          <w:rFonts w:ascii="Arial" w:hAnsi="Arial" w:cs="Arial"/>
          <w:sz w:val="24"/>
          <w:szCs w:val="24"/>
          <w:lang w:val="es-ES"/>
        </w:rPr>
        <w:t>También se agregan las principales recomendaciones que deberá atender el Organismo y una evaluación del cumplimiento de las recomendaciones presentadas en el informe de auditoría del Ejercicio anterior.</w:t>
      </w:r>
    </w:p>
    <w:p w:rsidR="004D1A45" w:rsidRDefault="004D1A45">
      <w:pPr>
        <w:numPr>
          <w:ilvl w:val="0"/>
          <w:numId w:val="5"/>
        </w:numPr>
        <w:tabs>
          <w:tab w:val="num" w:pos="405"/>
        </w:tabs>
        <w:spacing w:after="0" w:line="360" w:lineRule="auto"/>
        <w:rPr>
          <w:b/>
          <w:bCs/>
        </w:rPr>
      </w:pPr>
      <w:r>
        <w:rPr>
          <w:b/>
          <w:bCs/>
        </w:rPr>
        <w:t>Presentación de Estados Financieros</w:t>
      </w:r>
    </w:p>
    <w:p w:rsidR="004D1A45" w:rsidRDefault="004D1A45">
      <w:pPr>
        <w:pStyle w:val="Sangra3detindependiente3"/>
        <w:ind w:firstLine="0"/>
        <w:rPr>
          <w:spacing w:val="-3"/>
        </w:rPr>
      </w:pPr>
      <w:r>
        <w:t xml:space="preserve">Los estados financieros consolidados e individuales de ANTEL correspondientes al Ejercicio finalizado el 31 de diciembre de 2012 fueron aprobados por </w:t>
      </w:r>
      <w:r>
        <w:rPr>
          <w:color w:val="000000"/>
          <w:spacing w:val="6"/>
        </w:rPr>
        <w:t xml:space="preserve">Resolución </w:t>
      </w:r>
      <w:r>
        <w:rPr>
          <w:spacing w:val="6"/>
        </w:rPr>
        <w:t xml:space="preserve">de Directorio </w:t>
      </w:r>
      <w:r>
        <w:t>1322/13 (Acta 2472) del 25/07/2013</w:t>
      </w:r>
      <w:r>
        <w:rPr>
          <w:color w:val="FFFF00"/>
        </w:rPr>
        <w:t xml:space="preserve"> </w:t>
      </w:r>
      <w:r>
        <w:t>y remitidos al Tribunal de Cuentas el 7 de agosto de 2013.</w:t>
      </w:r>
    </w:p>
    <w:p w:rsidR="004D1A45" w:rsidRDefault="004D1A45">
      <w:pPr>
        <w:spacing w:line="360" w:lineRule="auto"/>
        <w:rPr>
          <w:spacing w:val="-3"/>
          <w:lang w:val="es-ES_tradnl"/>
        </w:rPr>
      </w:pPr>
      <w:r>
        <w:rPr>
          <w:spacing w:val="-3"/>
          <w:lang w:val="es-ES_tradnl"/>
        </w:rPr>
        <w:t>Dichos estados se presentan de acuerdo con las normas contables adecuadas en Uruguay, criterios establecidos por la Ordenanza N° 81 y la Resolución de fecha 25 de junio de 2009 del Tribunal de Cuentas, relativa a la remisión de los estados financieros consolidados.</w:t>
      </w:r>
    </w:p>
    <w:p w:rsidR="004D1A45" w:rsidRDefault="004D1A45">
      <w:pPr>
        <w:spacing w:line="360" w:lineRule="auto"/>
        <w:rPr>
          <w:spacing w:val="-3"/>
          <w:lang w:val="es-ES_tradnl"/>
        </w:rPr>
      </w:pPr>
      <w:r>
        <w:rPr>
          <w:spacing w:val="-3"/>
          <w:lang w:val="es-ES_tradnl"/>
        </w:rPr>
        <w:t>Los estados financieros de ANTEL fueron consolidados con los correspondientes a ITC S.A., HG S.A., Accesa S.A. y ANTEL USA Inc. al 31 de diciembre de 2012.</w:t>
      </w:r>
    </w:p>
    <w:p w:rsidR="004D1A45" w:rsidRDefault="004D1A45">
      <w:pPr>
        <w:spacing w:line="360" w:lineRule="auto"/>
        <w:rPr>
          <w:spacing w:val="-3"/>
          <w:lang w:val="es-ES_tradnl"/>
        </w:rPr>
      </w:pPr>
    </w:p>
    <w:p w:rsidR="004D1A45" w:rsidRDefault="004D1A45">
      <w:pPr>
        <w:spacing w:line="360" w:lineRule="auto"/>
        <w:rPr>
          <w:spacing w:val="-3"/>
          <w:lang w:val="es-ES_tradnl"/>
        </w:rPr>
      </w:pPr>
    </w:p>
    <w:p w:rsidR="004D1A45" w:rsidRDefault="004D1A45">
      <w:pPr>
        <w:spacing w:line="360" w:lineRule="auto"/>
        <w:rPr>
          <w:spacing w:val="-3"/>
          <w:lang w:val="es-ES_tradnl"/>
        </w:rPr>
      </w:pPr>
    </w:p>
    <w:p w:rsidR="004D1A45" w:rsidRDefault="004D1A45">
      <w:pPr>
        <w:numPr>
          <w:ilvl w:val="0"/>
          <w:numId w:val="5"/>
        </w:numPr>
        <w:tabs>
          <w:tab w:val="num" w:pos="405"/>
        </w:tabs>
        <w:spacing w:after="0" w:line="360" w:lineRule="auto"/>
        <w:rPr>
          <w:b/>
          <w:bCs/>
        </w:rPr>
      </w:pPr>
      <w:r>
        <w:rPr>
          <w:b/>
          <w:bCs/>
        </w:rPr>
        <w:t>Evaluación del Sistema de Control Interno.</w:t>
      </w:r>
    </w:p>
    <w:p w:rsidR="004D1A45" w:rsidRDefault="004D1A45">
      <w:pPr>
        <w:pStyle w:val="BodyText"/>
        <w:spacing w:before="0" w:after="0" w:line="360" w:lineRule="auto"/>
        <w:rPr>
          <w:rFonts w:ascii="Arial" w:hAnsi="Arial" w:cs="Arial"/>
          <w:sz w:val="24"/>
          <w:szCs w:val="24"/>
          <w:lang w:val="es-ES"/>
        </w:rPr>
      </w:pPr>
      <w:r>
        <w:rPr>
          <w:rFonts w:ascii="Arial" w:hAnsi="Arial" w:cs="Arial"/>
          <w:sz w:val="24"/>
          <w:szCs w:val="24"/>
          <w:lang w:val="es-ES"/>
        </w:rPr>
        <w:t>El sistema de Control Interno de ANTEL proporciona un grado de seguridad razonable en relación a la confiabilidad de la información financiera, y el cumplimiento de la normativa legal vigente.</w:t>
      </w:r>
    </w:p>
    <w:p w:rsidR="004D1A45" w:rsidRDefault="004D1A45">
      <w:pPr>
        <w:pStyle w:val="BodyText"/>
        <w:spacing w:before="0" w:after="0" w:line="360" w:lineRule="auto"/>
        <w:rPr>
          <w:rFonts w:ascii="Arial" w:hAnsi="Arial" w:cs="Arial"/>
          <w:sz w:val="24"/>
          <w:szCs w:val="24"/>
          <w:lang w:val="es-ES"/>
        </w:rPr>
      </w:pPr>
      <w:r>
        <w:rPr>
          <w:rFonts w:ascii="Arial" w:hAnsi="Arial" w:cs="Arial"/>
          <w:sz w:val="24"/>
          <w:szCs w:val="24"/>
          <w:lang w:val="es-ES"/>
        </w:rPr>
        <w:t>Su evaluación permitió realizar las siguientes constataciones:</w:t>
      </w:r>
    </w:p>
    <w:p w:rsidR="004D1A45" w:rsidRDefault="004D1A45">
      <w:pPr>
        <w:pStyle w:val="Continuarlista1"/>
        <w:numPr>
          <w:ilvl w:val="1"/>
          <w:numId w:val="6"/>
        </w:numPr>
        <w:spacing w:after="0" w:line="360" w:lineRule="auto"/>
        <w:rPr>
          <w:rFonts w:ascii="Arial" w:hAnsi="Arial" w:cs="Arial"/>
          <w:b/>
          <w:bCs/>
        </w:rPr>
      </w:pPr>
      <w:r>
        <w:rPr>
          <w:rFonts w:ascii="Arial" w:hAnsi="Arial" w:cs="Arial"/>
          <w:b/>
          <w:bCs/>
        </w:rPr>
        <w:t>Acreedores Servicios de Valor Agregado (0900, donaciones y otros)</w:t>
      </w:r>
    </w:p>
    <w:p w:rsidR="004D1A45" w:rsidRDefault="004D1A45">
      <w:pPr>
        <w:pStyle w:val="BodyText"/>
        <w:snapToGrid w:val="0"/>
        <w:spacing w:before="0" w:after="0" w:line="360" w:lineRule="auto"/>
        <w:ind w:left="708" w:right="98"/>
        <w:rPr>
          <w:rFonts w:ascii="Arial" w:hAnsi="Arial" w:cs="Arial"/>
          <w:sz w:val="24"/>
          <w:szCs w:val="24"/>
        </w:rPr>
      </w:pPr>
      <w:r>
        <w:rPr>
          <w:rFonts w:ascii="Arial" w:hAnsi="Arial" w:cs="Arial"/>
          <w:sz w:val="24"/>
          <w:szCs w:val="24"/>
        </w:rPr>
        <w:t>El Capítulo Acreedores Comerciales incluye el rubro Acreedores Servicios de Valor Agregado que se utiliza para registrar los importes recaudados por ANTEL y adeudados a prestadores de servicios, a fundaciones o personas para las que se recaudaron donaciones, tarifas u otros.</w:t>
      </w:r>
      <w:r>
        <w:rPr>
          <w:rFonts w:ascii="Arial" w:hAnsi="Arial" w:cs="Arial"/>
          <w:color w:val="FF0000"/>
          <w:sz w:val="24"/>
          <w:szCs w:val="24"/>
        </w:rPr>
        <w:t xml:space="preserve"> </w:t>
      </w:r>
    </w:p>
    <w:p w:rsidR="004D1A45" w:rsidRDefault="004D1A45">
      <w:pPr>
        <w:pStyle w:val="BodyText"/>
        <w:snapToGrid w:val="0"/>
        <w:spacing w:before="0" w:after="0" w:line="360" w:lineRule="auto"/>
        <w:ind w:left="708" w:right="98"/>
        <w:rPr>
          <w:rFonts w:ascii="Arial" w:hAnsi="Arial" w:cs="Arial"/>
          <w:sz w:val="24"/>
          <w:szCs w:val="24"/>
        </w:rPr>
      </w:pPr>
      <w:r>
        <w:rPr>
          <w:rFonts w:ascii="Arial" w:hAnsi="Arial" w:cs="Arial"/>
          <w:sz w:val="24"/>
          <w:szCs w:val="24"/>
        </w:rPr>
        <w:t>En la composición de dichos rubros se ha constatado que existen 21 acreedores con saldos deudores por un total de $ 10:191.356,61.</w:t>
      </w:r>
    </w:p>
    <w:p w:rsidR="004D1A45" w:rsidRDefault="004D1A45">
      <w:pPr>
        <w:pStyle w:val="BodyText"/>
        <w:snapToGrid w:val="0"/>
        <w:spacing w:before="0" w:after="0" w:line="360" w:lineRule="auto"/>
        <w:ind w:left="708" w:right="98"/>
        <w:rPr>
          <w:rFonts w:ascii="Arial" w:hAnsi="Arial" w:cs="Arial"/>
          <w:sz w:val="24"/>
          <w:szCs w:val="24"/>
        </w:rPr>
      </w:pPr>
      <w:r>
        <w:rPr>
          <w:rFonts w:ascii="Arial" w:hAnsi="Arial" w:cs="Arial"/>
          <w:sz w:val="24"/>
          <w:szCs w:val="24"/>
        </w:rPr>
        <w:t>Si bien el Organismo ha establecido un procedimiento que permite analizar la composición de los rubros y realizar los ajustes correspondientes, para el ejercicio 2012 aún se constataron las diferencias mencionadas en el párrafo anterior.</w:t>
      </w:r>
    </w:p>
    <w:p w:rsidR="004D1A45" w:rsidRDefault="004D1A45">
      <w:pPr>
        <w:pStyle w:val="Continuarlista1"/>
        <w:numPr>
          <w:ilvl w:val="1"/>
          <w:numId w:val="6"/>
        </w:numPr>
        <w:spacing w:after="0" w:line="360" w:lineRule="auto"/>
        <w:rPr>
          <w:rFonts w:ascii="Arial" w:hAnsi="Arial" w:cs="Arial"/>
          <w:b/>
          <w:bCs/>
        </w:rPr>
      </w:pPr>
      <w:r>
        <w:rPr>
          <w:rFonts w:ascii="Arial" w:hAnsi="Arial" w:cs="Arial"/>
          <w:b/>
          <w:bCs/>
        </w:rPr>
        <w:t xml:space="preserve"> Cargas virtuales</w:t>
      </w:r>
    </w:p>
    <w:p w:rsidR="004D1A45" w:rsidRDefault="004D1A45">
      <w:pPr>
        <w:tabs>
          <w:tab w:val="left" w:pos="993"/>
          <w:tab w:val="left" w:pos="1063"/>
        </w:tabs>
        <w:spacing w:line="360" w:lineRule="auto"/>
        <w:ind w:left="708"/>
        <w:rPr>
          <w:rFonts w:eastAsia="Arial Unicode MS"/>
          <w:lang/>
        </w:rPr>
      </w:pPr>
      <w:r>
        <w:rPr>
          <w:rFonts w:eastAsia="Arial Unicode MS"/>
          <w:lang/>
        </w:rPr>
        <w:t>Se ha comprobado que en el Ejercicio 2012 continúan evidenciándose las siguientes debilidades:</w:t>
      </w:r>
    </w:p>
    <w:p w:rsidR="004D1A45" w:rsidRDefault="004D1A45">
      <w:pPr>
        <w:numPr>
          <w:ilvl w:val="0"/>
          <w:numId w:val="7"/>
        </w:numPr>
        <w:tabs>
          <w:tab w:val="left" w:pos="993"/>
          <w:tab w:val="left" w:pos="1063"/>
        </w:tabs>
        <w:spacing w:after="0" w:line="360" w:lineRule="auto"/>
        <w:rPr>
          <w:rFonts w:eastAsia="Arial Unicode MS"/>
          <w:lang/>
        </w:rPr>
      </w:pPr>
      <w:r>
        <w:rPr>
          <w:rFonts w:eastAsia="Arial Unicode MS"/>
          <w:lang/>
        </w:rPr>
        <w:t>No se adecuaron los controles informáticos que se utilizan para verificar la generación (asignación) y activación de cargas virtuales vendidas a mayoristas, necesarios para la mejora del control interno de la empresa.</w:t>
      </w:r>
    </w:p>
    <w:p w:rsidR="004D1A45" w:rsidRDefault="004D1A45">
      <w:pPr>
        <w:numPr>
          <w:ilvl w:val="0"/>
          <w:numId w:val="7"/>
        </w:numPr>
        <w:tabs>
          <w:tab w:val="left" w:pos="993"/>
          <w:tab w:val="left" w:pos="1063"/>
        </w:tabs>
        <w:spacing w:after="0" w:line="360" w:lineRule="auto"/>
        <w:rPr>
          <w:rFonts w:eastAsia="Arial Unicode MS"/>
          <w:lang/>
        </w:rPr>
      </w:pPr>
      <w:r>
        <w:rPr>
          <w:rFonts w:eastAsia="Arial Unicode MS"/>
          <w:lang/>
        </w:rPr>
        <w:t>No se ha establecido un procedimiento informático de verificación del pago del mayorista a ANTEL de las cargas virtuales de “montos menores” a efectos de evitar errores en los ingresos manuales de los importes pagados.</w:t>
      </w:r>
    </w:p>
    <w:p w:rsidR="004D1A45" w:rsidRDefault="004D1A45">
      <w:pPr>
        <w:numPr>
          <w:ilvl w:val="0"/>
          <w:numId w:val="7"/>
        </w:numPr>
        <w:tabs>
          <w:tab w:val="left" w:pos="993"/>
          <w:tab w:val="left" w:pos="1063"/>
        </w:tabs>
        <w:spacing w:after="0" w:line="360" w:lineRule="auto"/>
        <w:rPr>
          <w:rFonts w:eastAsia="Arial Unicode MS"/>
          <w:lang/>
        </w:rPr>
      </w:pPr>
      <w:r>
        <w:rPr>
          <w:rFonts w:eastAsia="Arial Unicode MS"/>
          <w:lang/>
        </w:rPr>
        <w:t>Los controles de correlatividad de números de vouchers, de series y de pin asignados a los mayoristas, se realizan en forma manual a través de planillas electrónicas, lo que conlleva errores humanos.</w:t>
      </w:r>
    </w:p>
    <w:p w:rsidR="004D1A45" w:rsidRDefault="004D1A45">
      <w:pPr>
        <w:pStyle w:val="Continuarlista1"/>
        <w:numPr>
          <w:ilvl w:val="1"/>
          <w:numId w:val="6"/>
        </w:numPr>
        <w:spacing w:after="0" w:line="360" w:lineRule="auto"/>
        <w:rPr>
          <w:rFonts w:ascii="Arial" w:hAnsi="Arial" w:cs="Arial"/>
          <w:b/>
          <w:bCs/>
        </w:rPr>
      </w:pPr>
      <w:r>
        <w:rPr>
          <w:rFonts w:ascii="Arial" w:hAnsi="Arial" w:cs="Arial"/>
          <w:b/>
          <w:bCs/>
        </w:rPr>
        <w:t xml:space="preserve">  Otros Materiales y Suministros </w:t>
      </w:r>
    </w:p>
    <w:p w:rsidR="004D1A45" w:rsidRDefault="004D1A45">
      <w:pPr>
        <w:pStyle w:val="Continuarlista1"/>
        <w:numPr>
          <w:ilvl w:val="0"/>
          <w:numId w:val="0"/>
        </w:numPr>
        <w:spacing w:after="0" w:line="360" w:lineRule="auto"/>
        <w:ind w:left="708"/>
        <w:jc w:val="both"/>
        <w:rPr>
          <w:rFonts w:ascii="Arial" w:hAnsi="Arial" w:cs="Arial"/>
        </w:rPr>
      </w:pPr>
      <w:r>
        <w:rPr>
          <w:rFonts w:ascii="Arial" w:hAnsi="Arial" w:cs="Arial"/>
        </w:rPr>
        <w:t xml:space="preserve">En este capítulo de pérdida se incluye la cuenta 51267 “Otros”, en la que se registran materiales inventariados en depósito (papelería y limpieza) y trimestralmente se realizan extornos para activar los materiales que no fueron consumidos. A fin de ejercicio esta cuenta de pérdida se expone con un saldo acreedor de $ 9:973.335.  </w:t>
      </w:r>
    </w:p>
    <w:p w:rsidR="004D1A45" w:rsidRDefault="004D1A45">
      <w:pPr>
        <w:pStyle w:val="Continuarlista1"/>
        <w:numPr>
          <w:ilvl w:val="1"/>
          <w:numId w:val="6"/>
        </w:numPr>
        <w:spacing w:after="0" w:line="360" w:lineRule="auto"/>
        <w:jc w:val="both"/>
        <w:rPr>
          <w:rFonts w:ascii="Arial" w:hAnsi="Arial" w:cs="Arial"/>
          <w:b/>
          <w:bCs/>
        </w:rPr>
      </w:pPr>
      <w:r>
        <w:rPr>
          <w:rFonts w:ascii="Arial" w:hAnsi="Arial" w:cs="Arial"/>
          <w:b/>
          <w:bCs/>
        </w:rPr>
        <w:t xml:space="preserve">  Facturación Zona Franca</w:t>
      </w:r>
    </w:p>
    <w:p w:rsidR="004D1A45" w:rsidRDefault="004D1A45">
      <w:pPr>
        <w:pStyle w:val="Continuarlista1"/>
        <w:numPr>
          <w:ilvl w:val="0"/>
          <w:numId w:val="0"/>
        </w:numPr>
        <w:spacing w:after="0" w:line="360" w:lineRule="auto"/>
        <w:ind w:left="708"/>
        <w:jc w:val="both"/>
        <w:rPr>
          <w:rFonts w:ascii="Arial" w:hAnsi="Arial" w:cs="Arial"/>
        </w:rPr>
      </w:pPr>
      <w:r>
        <w:rPr>
          <w:rFonts w:ascii="Arial" w:hAnsi="Arial" w:cs="Arial"/>
          <w:b/>
          <w:bCs/>
        </w:rPr>
        <w:t xml:space="preserve"> </w:t>
      </w:r>
      <w:r>
        <w:rPr>
          <w:rFonts w:ascii="Arial" w:hAnsi="Arial" w:cs="Arial"/>
        </w:rPr>
        <w:t xml:space="preserve">A determinados Clientes Zafiro se les facturó con IVA cuando no correspondía. </w:t>
      </w:r>
    </w:p>
    <w:p w:rsidR="004D1A45" w:rsidRDefault="004D1A45">
      <w:pPr>
        <w:pStyle w:val="Continuarlista1"/>
        <w:numPr>
          <w:ilvl w:val="0"/>
          <w:numId w:val="0"/>
        </w:numPr>
        <w:spacing w:after="0" w:line="360" w:lineRule="auto"/>
        <w:ind w:left="708"/>
        <w:jc w:val="both"/>
        <w:rPr>
          <w:rFonts w:ascii="Arial" w:hAnsi="Arial" w:cs="Arial"/>
        </w:rPr>
      </w:pPr>
      <w:r>
        <w:rPr>
          <w:rFonts w:ascii="Arial" w:hAnsi="Arial" w:cs="Arial"/>
        </w:rPr>
        <w:t>El Organismo regulariza esta situación a través de la emisión de notas de crédito, debido a que no se ha implementado una solución definitiva en los sistemas de facturación.</w:t>
      </w:r>
    </w:p>
    <w:p w:rsidR="004D1A45" w:rsidRDefault="004D1A45">
      <w:pPr>
        <w:pStyle w:val="Textoindependiente21"/>
        <w:numPr>
          <w:ilvl w:val="0"/>
          <w:numId w:val="5"/>
        </w:numPr>
        <w:tabs>
          <w:tab w:val="left" w:pos="525"/>
        </w:tabs>
      </w:pPr>
      <w:r>
        <w:t>Recomendaciones</w:t>
      </w:r>
    </w:p>
    <w:p w:rsidR="004D1A45" w:rsidRDefault="004D1A45">
      <w:pPr>
        <w:pStyle w:val="Textoindependiente21"/>
        <w:tabs>
          <w:tab w:val="left" w:pos="720"/>
        </w:tabs>
        <w:suppressAutoHyphens w:val="0"/>
        <w:rPr>
          <w:lang w:eastAsia="es-ES"/>
        </w:rPr>
      </w:pPr>
      <w:r>
        <w:rPr>
          <w:lang w:eastAsia="es-ES"/>
        </w:rPr>
        <w:t>3.1</w:t>
      </w:r>
      <w:r>
        <w:rPr>
          <w:lang w:eastAsia="es-ES"/>
        </w:rPr>
        <w:tab/>
        <w:t>Recomendaciones de Ejercicios anteriores</w:t>
      </w:r>
    </w:p>
    <w:p w:rsidR="004D1A45" w:rsidRDefault="004D1A45">
      <w:pPr>
        <w:pStyle w:val="Textoindependiente21"/>
        <w:tabs>
          <w:tab w:val="left" w:pos="720"/>
        </w:tabs>
        <w:suppressAutoHyphens w:val="0"/>
        <w:rPr>
          <w:lang w:eastAsia="es-ES"/>
        </w:rPr>
      </w:pPr>
      <w:r>
        <w:rPr>
          <w:lang w:eastAsia="es-ES"/>
        </w:rPr>
        <w:t>3.1.1</w:t>
      </w:r>
      <w:r>
        <w:rPr>
          <w:lang w:eastAsia="es-ES"/>
        </w:rPr>
        <w:tab/>
        <w:t>Cumplidas</w:t>
      </w:r>
    </w:p>
    <w:p w:rsidR="004D1A45" w:rsidRDefault="004D1A45">
      <w:pPr>
        <w:numPr>
          <w:ilvl w:val="0"/>
          <w:numId w:val="3"/>
        </w:numPr>
        <w:tabs>
          <w:tab w:val="left" w:pos="993"/>
          <w:tab w:val="left" w:pos="1080"/>
        </w:tabs>
        <w:spacing w:after="0" w:line="360" w:lineRule="auto"/>
        <w:ind w:left="993" w:hanging="290"/>
      </w:pPr>
      <w:r>
        <w:t>No surgen diferencias significativas entre los saldos contables de las cuentas Deudores Cuotas, Documentos a Cobrar e Intereses a Vencer con los saldos del sistema de facturación (Telelink).</w:t>
      </w:r>
    </w:p>
    <w:p w:rsidR="004D1A45" w:rsidRDefault="004D1A45">
      <w:pPr>
        <w:numPr>
          <w:ilvl w:val="0"/>
          <w:numId w:val="3"/>
        </w:numPr>
        <w:tabs>
          <w:tab w:val="left" w:pos="993"/>
          <w:tab w:val="left" w:pos="1063"/>
        </w:tabs>
        <w:spacing w:after="0" w:line="360" w:lineRule="auto"/>
        <w:ind w:left="993" w:hanging="290"/>
      </w:pPr>
      <w:r>
        <w:t>Se incluye la cuenta 52111-Arrendamientos dentro del Capítulo Arrendamientos Varios del Estado de Resultados.</w:t>
      </w:r>
    </w:p>
    <w:p w:rsidR="004D1A45" w:rsidRDefault="004D1A45">
      <w:pPr>
        <w:numPr>
          <w:ilvl w:val="0"/>
          <w:numId w:val="3"/>
        </w:numPr>
        <w:tabs>
          <w:tab w:val="left" w:pos="993"/>
          <w:tab w:val="left" w:pos="1063"/>
        </w:tabs>
        <w:spacing w:after="0" w:line="360" w:lineRule="auto"/>
        <w:ind w:left="993" w:hanging="290"/>
      </w:pPr>
      <w:r>
        <w:t xml:space="preserve">Se contabilizó como pérdida de cada Ejercicio los arrendamientos devengados que resultan de contratos pactados por varios años. </w:t>
      </w:r>
    </w:p>
    <w:p w:rsidR="004D1A45" w:rsidRDefault="004D1A45">
      <w:pPr>
        <w:pStyle w:val="Textoindependiente21"/>
        <w:numPr>
          <w:ilvl w:val="2"/>
          <w:numId w:val="8"/>
        </w:numPr>
        <w:suppressAutoHyphens w:val="0"/>
        <w:rPr>
          <w:lang w:eastAsia="es-ES"/>
        </w:rPr>
      </w:pPr>
      <w:r>
        <w:rPr>
          <w:lang w:eastAsia="es-ES"/>
        </w:rPr>
        <w:t>No cumplidas</w:t>
      </w:r>
    </w:p>
    <w:p w:rsidR="004D1A45" w:rsidRDefault="004D1A45">
      <w:pPr>
        <w:numPr>
          <w:ilvl w:val="0"/>
          <w:numId w:val="3"/>
        </w:numPr>
        <w:tabs>
          <w:tab w:val="left" w:pos="993"/>
          <w:tab w:val="left" w:pos="1080"/>
        </w:tabs>
        <w:spacing w:after="0" w:line="360" w:lineRule="auto"/>
        <w:ind w:left="993" w:hanging="290"/>
      </w:pPr>
      <w:r>
        <w:t xml:space="preserve">Actualizar la aplicación informática que prevé una base de datos única para el control del registro y valuación de los inmuebles. </w:t>
      </w:r>
    </w:p>
    <w:p w:rsidR="004D1A45" w:rsidRDefault="004D1A45">
      <w:pPr>
        <w:numPr>
          <w:ilvl w:val="0"/>
          <w:numId w:val="3"/>
        </w:numPr>
        <w:tabs>
          <w:tab w:val="left" w:pos="993"/>
          <w:tab w:val="left" w:pos="1080"/>
        </w:tabs>
        <w:spacing w:after="0" w:line="360" w:lineRule="auto"/>
        <w:ind w:left="993" w:hanging="290"/>
      </w:pPr>
      <w:r>
        <w:t>Regularizar la situación del personal contratado en forma directa (Agentes Telefónicos y Fleteros), de acuerdo con lo dispuesto en el Artículo 33 del TOCAF.</w:t>
      </w:r>
    </w:p>
    <w:p w:rsidR="004D1A45" w:rsidRDefault="004D1A45">
      <w:pPr>
        <w:numPr>
          <w:ilvl w:val="0"/>
          <w:numId w:val="3"/>
        </w:numPr>
        <w:tabs>
          <w:tab w:val="left" w:pos="993"/>
          <w:tab w:val="left" w:pos="1080"/>
        </w:tabs>
        <w:spacing w:after="0" w:line="360" w:lineRule="auto"/>
        <w:ind w:left="993" w:hanging="290"/>
      </w:pPr>
      <w:r>
        <w:t>Ajustar los saldos de las cuentas acreedoras de las operativas de Servicios de Valor Agregado y determinar todos los procedimientos que generan saldos contables incorrectos de pasivos y de resultados.</w:t>
      </w:r>
    </w:p>
    <w:p w:rsidR="004D1A45" w:rsidRDefault="004D1A45">
      <w:pPr>
        <w:numPr>
          <w:ilvl w:val="0"/>
          <w:numId w:val="3"/>
        </w:numPr>
        <w:tabs>
          <w:tab w:val="left" w:pos="993"/>
          <w:tab w:val="left" w:pos="1080"/>
        </w:tabs>
        <w:spacing w:after="0" w:line="360" w:lineRule="auto"/>
        <w:ind w:left="993" w:hanging="290"/>
      </w:pPr>
      <w:r>
        <w:t>Realizar recuentos físicos de Bienes de Uso y analizar su valuación.</w:t>
      </w:r>
    </w:p>
    <w:p w:rsidR="004D1A45" w:rsidRDefault="004D1A45">
      <w:pPr>
        <w:numPr>
          <w:ilvl w:val="0"/>
          <w:numId w:val="3"/>
        </w:numPr>
        <w:tabs>
          <w:tab w:val="left" w:pos="993"/>
          <w:tab w:val="left" w:pos="1080"/>
        </w:tabs>
        <w:spacing w:after="0" w:line="360" w:lineRule="auto"/>
        <w:ind w:left="993" w:hanging="290"/>
      </w:pPr>
      <w:r>
        <w:t>Instrumentar los mecanismos necesarios para la mejora del sistema de control interno en la gestión de las cargas virtuales (generación y activación) en el caso de ventas a revendedores  mayoristas.</w:t>
      </w:r>
    </w:p>
    <w:p w:rsidR="004D1A45" w:rsidRDefault="004D1A45">
      <w:pPr>
        <w:numPr>
          <w:ilvl w:val="0"/>
          <w:numId w:val="3"/>
        </w:numPr>
        <w:tabs>
          <w:tab w:val="left" w:pos="993"/>
          <w:tab w:val="left" w:pos="1063"/>
        </w:tabs>
        <w:spacing w:after="0" w:line="360" w:lineRule="auto"/>
        <w:ind w:left="993" w:hanging="290"/>
      </w:pPr>
      <w:r>
        <w:t>Mejorar el control informático del cumplimiento del pago previo de las cargas virtuales de “montos menores”.</w:t>
      </w:r>
    </w:p>
    <w:p w:rsidR="004D1A45" w:rsidRDefault="004D1A45">
      <w:pPr>
        <w:numPr>
          <w:ilvl w:val="0"/>
          <w:numId w:val="3"/>
        </w:numPr>
        <w:tabs>
          <w:tab w:val="left" w:pos="993"/>
          <w:tab w:val="left" w:pos="1080"/>
        </w:tabs>
        <w:spacing w:after="0" w:line="360" w:lineRule="auto"/>
        <w:ind w:left="993" w:hanging="290"/>
      </w:pPr>
      <w:r>
        <w:t>Evitar el uso de planillas electrónicas para controles rutinarios de la correlatividad de números de pin, de vouchers y de series estableciendo los mismos en las aplicaciones informáticas correspondientes a efectos de minimizar errores de digitación.</w:t>
      </w:r>
    </w:p>
    <w:p w:rsidR="004D1A45" w:rsidRDefault="004D1A45">
      <w:pPr>
        <w:pStyle w:val="Textoindependiente21"/>
        <w:tabs>
          <w:tab w:val="left" w:pos="720"/>
        </w:tabs>
        <w:suppressAutoHyphens w:val="0"/>
        <w:rPr>
          <w:lang w:eastAsia="es-ES"/>
        </w:rPr>
      </w:pPr>
      <w:r>
        <w:rPr>
          <w:lang w:eastAsia="es-ES"/>
        </w:rPr>
        <w:t>3.2</w:t>
      </w:r>
      <w:r>
        <w:rPr>
          <w:lang w:eastAsia="es-ES"/>
        </w:rPr>
        <w:tab/>
        <w:t>Recomendaciones del presente Ejercicio</w:t>
      </w:r>
    </w:p>
    <w:p w:rsidR="004D1A45" w:rsidRDefault="004D1A45">
      <w:pPr>
        <w:tabs>
          <w:tab w:val="left" w:pos="993"/>
          <w:tab w:val="left" w:pos="1080"/>
        </w:tabs>
        <w:spacing w:line="360" w:lineRule="auto"/>
        <w:ind w:left="703"/>
      </w:pPr>
      <w:r>
        <w:t>Se reiteran las recomendaciones no cumplidas del Ejercicio anterior, y se formulan las siguientes:</w:t>
      </w:r>
    </w:p>
    <w:p w:rsidR="004D1A45" w:rsidRDefault="004D1A45">
      <w:pPr>
        <w:pStyle w:val="BodyText"/>
        <w:numPr>
          <w:ilvl w:val="0"/>
          <w:numId w:val="3"/>
        </w:numPr>
        <w:snapToGrid w:val="0"/>
        <w:spacing w:before="0" w:after="0" w:line="360" w:lineRule="auto"/>
        <w:ind w:left="720" w:right="98" w:hanging="360"/>
        <w:rPr>
          <w:rFonts w:ascii="Arial" w:hAnsi="Arial" w:cs="Arial"/>
          <w:sz w:val="24"/>
          <w:szCs w:val="24"/>
        </w:rPr>
      </w:pPr>
      <w:r>
        <w:rPr>
          <w:rFonts w:ascii="Arial" w:hAnsi="Arial" w:cs="Arial"/>
          <w:sz w:val="24"/>
          <w:szCs w:val="24"/>
        </w:rPr>
        <w:t>Regularizar el procedimiento de ajuste de los materiales inventariados en depósito, a efectos de que la cuenta “Otros”, dentro del capítulo Otros Materiales y Suministros, al cierre de ejercicio se exponga con el saldo correcto.</w:t>
      </w:r>
    </w:p>
    <w:p w:rsidR="004D1A45" w:rsidRDefault="004D1A45">
      <w:pPr>
        <w:pStyle w:val="BodyText"/>
        <w:numPr>
          <w:ilvl w:val="0"/>
          <w:numId w:val="3"/>
        </w:numPr>
        <w:snapToGrid w:val="0"/>
        <w:spacing w:before="0" w:after="0" w:line="360" w:lineRule="auto"/>
        <w:ind w:left="720" w:right="98" w:hanging="360"/>
        <w:rPr>
          <w:rFonts w:ascii="Arial" w:hAnsi="Arial" w:cs="Arial"/>
          <w:sz w:val="24"/>
          <w:szCs w:val="24"/>
        </w:rPr>
      </w:pPr>
      <w:r>
        <w:rPr>
          <w:rFonts w:ascii="Arial" w:hAnsi="Arial" w:cs="Arial"/>
          <w:sz w:val="24"/>
          <w:szCs w:val="24"/>
        </w:rPr>
        <w:t>Implementar un mecanismo a efectos que la facturación correspondiente a los Clientes Zafiro exonerados de IVA situados en Zona Franca, se realice en forma correcta.</w:t>
      </w:r>
    </w:p>
    <w:p w:rsidR="004D1A45" w:rsidRDefault="004D1A45">
      <w:pPr>
        <w:pStyle w:val="BodyText"/>
        <w:numPr>
          <w:ilvl w:val="0"/>
          <w:numId w:val="3"/>
        </w:numPr>
        <w:snapToGrid w:val="0"/>
        <w:spacing w:before="0" w:after="0" w:line="360" w:lineRule="auto"/>
        <w:ind w:left="720" w:right="98" w:hanging="360"/>
        <w:rPr>
          <w:rFonts w:ascii="Arial" w:hAnsi="Arial" w:cs="Arial"/>
          <w:sz w:val="24"/>
          <w:szCs w:val="24"/>
        </w:rPr>
      </w:pPr>
      <w:r>
        <w:rPr>
          <w:rFonts w:ascii="Arial" w:hAnsi="Arial" w:cs="Arial"/>
          <w:sz w:val="24"/>
          <w:szCs w:val="24"/>
        </w:rPr>
        <w:t>Fortalecer el sistema de control interno a efectos de corregir las debilidades expuestas en este informe.</w:t>
      </w:r>
    </w:p>
    <w:p w:rsidR="004D1A45" w:rsidRDefault="004D1A45">
      <w:pPr>
        <w:jc w:val="right"/>
      </w:pPr>
      <w:r>
        <w:t>Montevideo, 27 de noviembre de 2013.</w:t>
      </w:r>
    </w:p>
    <w:p w:rsidR="004D1A45" w:rsidRDefault="004D1A45"/>
    <w:p w:rsidR="004D1A45" w:rsidRDefault="004D1A45"/>
    <w:p w:rsidR="004D1A45" w:rsidRDefault="004D1A45">
      <w:pPr>
        <w:rPr>
          <w:rFonts w:ascii="Times New Roman" w:hAnsi="Times New Roman" w:cs="Times New Roman"/>
          <w:lang w:val="es-ES_tradnl"/>
        </w:rPr>
      </w:pPr>
    </w:p>
    <w:sectPr w:rsidR="004D1A45" w:rsidSect="004D1A45">
      <w:headerReference w:type="default" r:id="rId7"/>
      <w:pgSz w:w="11906" w:h="16838" w:code="9"/>
      <w:pgMar w:top="3402" w:right="1701" w:bottom="1418" w:left="1701" w:header="0" w:footer="0" w:gutter="0"/>
      <w:paperSrc w:first="4" w:other="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A45" w:rsidRDefault="004D1A45">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4D1A45" w:rsidRDefault="004D1A45">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StarSymbol">
    <w:altName w:val="Times New Roman"/>
    <w:panose1 w:val="00000000000000000000"/>
    <w:charset w:val="02"/>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0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A45" w:rsidRDefault="004D1A45">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4D1A45" w:rsidRDefault="004D1A45">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A45" w:rsidRDefault="004D1A45">
    <w:pPr>
      <w:pStyle w:val="Header"/>
    </w:pPr>
  </w:p>
  <w:p w:rsidR="004D1A45" w:rsidRDefault="004D1A45">
    <w:pPr>
      <w:pStyle w:val="Header"/>
    </w:pPr>
  </w:p>
  <w:p w:rsidR="004D1A45" w:rsidRDefault="004D1A45">
    <w:pPr>
      <w:pStyle w:val="Head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0"/>
        </w:tabs>
      </w:pPr>
      <w:rPr>
        <w:rFonts w:ascii="StarSymbol" w:hAnsi="StarSymbol" w:cs="StarSymbol"/>
        <w:color w:val="auto"/>
      </w:rPr>
    </w:lvl>
    <w:lvl w:ilvl="1">
      <w:start w:val="1"/>
      <w:numFmt w:val="bullet"/>
      <w:lvlText w:val=""/>
      <w:lvlJc w:val="left"/>
      <w:pPr>
        <w:tabs>
          <w:tab w:val="num" w:pos="0"/>
        </w:tabs>
      </w:pPr>
      <w:rPr>
        <w:rFonts w:ascii="Wingdings" w:hAnsi="Wingdings" w:cs="Wingdings"/>
        <w:color w:val="auto"/>
      </w:rPr>
    </w:lvl>
    <w:lvl w:ilvl="2">
      <w:start w:val="1"/>
      <w:numFmt w:val="bullet"/>
      <w:lvlText w:val=""/>
      <w:lvlJc w:val="left"/>
      <w:pPr>
        <w:tabs>
          <w:tab w:val="num" w:pos="0"/>
        </w:tabs>
      </w:pPr>
      <w:rPr>
        <w:rFonts w:ascii="Wingdings" w:hAnsi="Wingdings" w:cs="Wingdings"/>
        <w:color w:val="auto"/>
      </w:rPr>
    </w:lvl>
    <w:lvl w:ilvl="3">
      <w:start w:val="1"/>
      <w:numFmt w:val="bullet"/>
      <w:lvlText w:val=""/>
      <w:lvlJc w:val="left"/>
      <w:pPr>
        <w:tabs>
          <w:tab w:val="num" w:pos="0"/>
        </w:tabs>
      </w:pPr>
      <w:rPr>
        <w:rFonts w:ascii="Wingdings" w:hAnsi="Wingdings" w:cs="Wingdings"/>
        <w:color w:val="auto"/>
      </w:rPr>
    </w:lvl>
    <w:lvl w:ilvl="4">
      <w:start w:val="1"/>
      <w:numFmt w:val="bullet"/>
      <w:lvlText w:val=""/>
      <w:lvlJc w:val="left"/>
      <w:pPr>
        <w:tabs>
          <w:tab w:val="num" w:pos="0"/>
        </w:tabs>
      </w:pPr>
      <w:rPr>
        <w:rFonts w:ascii="Wingdings" w:hAnsi="Wingdings" w:cs="Wingdings"/>
        <w:color w:val="auto"/>
      </w:rPr>
    </w:lvl>
    <w:lvl w:ilvl="5">
      <w:start w:val="1"/>
      <w:numFmt w:val="bullet"/>
      <w:lvlText w:val=""/>
      <w:lvlJc w:val="left"/>
      <w:pPr>
        <w:tabs>
          <w:tab w:val="num" w:pos="0"/>
        </w:tabs>
      </w:pPr>
      <w:rPr>
        <w:rFonts w:ascii="Wingdings" w:hAnsi="Wingdings" w:cs="Wingdings"/>
        <w:color w:val="auto"/>
      </w:rPr>
    </w:lvl>
    <w:lvl w:ilvl="6">
      <w:start w:val="1"/>
      <w:numFmt w:val="bullet"/>
      <w:lvlText w:val=""/>
      <w:lvlJc w:val="left"/>
      <w:pPr>
        <w:tabs>
          <w:tab w:val="num" w:pos="0"/>
        </w:tabs>
      </w:pPr>
      <w:rPr>
        <w:rFonts w:ascii="Wingdings" w:hAnsi="Wingdings" w:cs="Wingdings"/>
        <w:color w:val="auto"/>
      </w:rPr>
    </w:lvl>
    <w:lvl w:ilvl="7">
      <w:start w:val="1"/>
      <w:numFmt w:val="bullet"/>
      <w:lvlText w:val=""/>
      <w:lvlJc w:val="left"/>
      <w:pPr>
        <w:tabs>
          <w:tab w:val="num" w:pos="0"/>
        </w:tabs>
      </w:pPr>
      <w:rPr>
        <w:rFonts w:ascii="Wingdings" w:hAnsi="Wingdings" w:cs="Wingdings"/>
        <w:color w:val="auto"/>
      </w:rPr>
    </w:lvl>
    <w:lvl w:ilvl="8">
      <w:start w:val="1"/>
      <w:numFmt w:val="bullet"/>
      <w:lvlText w:val=""/>
      <w:lvlJc w:val="left"/>
      <w:pPr>
        <w:tabs>
          <w:tab w:val="num" w:pos="0"/>
        </w:tabs>
      </w:pPr>
      <w:rPr>
        <w:rFonts w:ascii="Wingdings" w:hAnsi="Wingdings" w:cs="Wingdings"/>
        <w:color w:val="auto"/>
      </w:rPr>
    </w:lvl>
  </w:abstractNum>
  <w:abstractNum w:abstractNumId="1">
    <w:nsid w:val="00000006"/>
    <w:multiLevelType w:val="multilevel"/>
    <w:tmpl w:val="AD1EE68A"/>
    <w:name w:val="WW8Num6"/>
    <w:lvl w:ilvl="0">
      <w:start w:val="2"/>
      <w:numFmt w:val="decimal"/>
      <w:pStyle w:val="Continuarlista1"/>
      <w:lvlText w:val="%1"/>
      <w:lvlJc w:val="left"/>
      <w:pPr>
        <w:tabs>
          <w:tab w:val="num" w:pos="360"/>
        </w:tabs>
      </w:pPr>
      <w:rPr>
        <w:rFonts w:hint="default"/>
      </w:rPr>
    </w:lvl>
    <w:lvl w:ilvl="1">
      <w:start w:val="1"/>
      <w:numFmt w:val="decimal"/>
      <w:lvlText w:val="%1.%2"/>
      <w:lvlJc w:val="left"/>
      <w:pPr>
        <w:tabs>
          <w:tab w:val="num" w:pos="360"/>
        </w:tabs>
      </w:pPr>
      <w:rPr>
        <w:rFonts w:hint="default"/>
      </w:rPr>
    </w:lvl>
    <w:lvl w:ilvl="2">
      <w:start w:val="1"/>
      <w:numFmt w:val="decimal"/>
      <w:lvlText w:val="%1.%2.%3"/>
      <w:lvlJc w:val="left"/>
      <w:pPr>
        <w:tabs>
          <w:tab w:val="num" w:pos="720"/>
        </w:tabs>
      </w:pPr>
      <w:rPr>
        <w:rFonts w:hint="default"/>
      </w:rPr>
    </w:lvl>
    <w:lvl w:ilvl="3">
      <w:start w:val="1"/>
      <w:numFmt w:val="decimal"/>
      <w:lvlText w:val="%1.%2.%3.%4"/>
      <w:lvlJc w:val="left"/>
      <w:pPr>
        <w:tabs>
          <w:tab w:val="num" w:pos="1080"/>
        </w:tabs>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44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1800"/>
        </w:tabs>
      </w:pPr>
      <w:rPr>
        <w:rFonts w:hint="default"/>
      </w:rPr>
    </w:lvl>
    <w:lvl w:ilvl="8">
      <w:start w:val="1"/>
      <w:numFmt w:val="decimal"/>
      <w:lvlText w:val="%1.%2.%3.%4.%5.%6.%7.%8.%9"/>
      <w:lvlJc w:val="left"/>
      <w:pPr>
        <w:tabs>
          <w:tab w:val="num" w:pos="1800"/>
        </w:tabs>
      </w:pPr>
      <w:rPr>
        <w:rFonts w:hint="default"/>
      </w:rPr>
    </w:lvl>
  </w:abstractNum>
  <w:abstractNum w:abstractNumId="2">
    <w:nsid w:val="0C21114E"/>
    <w:multiLevelType w:val="hybridMultilevel"/>
    <w:tmpl w:val="0388B5DE"/>
    <w:lvl w:ilvl="0" w:tplc="5FFE05C0">
      <w:start w:val="1"/>
      <w:numFmt w:val="decimal"/>
      <w:lvlText w:val="%1)"/>
      <w:lvlJc w:val="left"/>
      <w:pPr>
        <w:tabs>
          <w:tab w:val="num" w:pos="360"/>
        </w:tabs>
        <w:ind w:left="340" w:hanging="340"/>
      </w:pPr>
      <w:rPr>
        <w:rFonts w:ascii="Times New Roman" w:hAnsi="Times New Roman" w:cs="Times New Roman" w:hint="default"/>
        <w:b/>
        <w:bCs/>
        <w:i w:val="0"/>
        <w:iCs w:val="0"/>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0E1915C6"/>
    <w:multiLevelType w:val="hybridMultilevel"/>
    <w:tmpl w:val="EF1ED27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0F722B2F"/>
    <w:multiLevelType w:val="hybridMultilevel"/>
    <w:tmpl w:val="BC8CDDEE"/>
    <w:lvl w:ilvl="0" w:tplc="90463E56">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359B4561"/>
    <w:multiLevelType w:val="multilevel"/>
    <w:tmpl w:val="A49474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BF2654C"/>
    <w:multiLevelType w:val="multilevel"/>
    <w:tmpl w:val="BA807860"/>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DA52D9F"/>
    <w:multiLevelType w:val="hybridMultilevel"/>
    <w:tmpl w:val="E9A886D6"/>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7"/>
  </w:num>
  <w:num w:numId="3">
    <w:abstractNumId w:val="0"/>
  </w:num>
  <w:num w:numId="4">
    <w:abstractNumId w:val="1"/>
  </w:num>
  <w:num w:numId="5">
    <w:abstractNumId w:val="4"/>
  </w:num>
  <w:num w:numId="6">
    <w:abstractNumId w:val="5"/>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1A45"/>
    <w:rsid w:val="004D1A45"/>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ascii="Arial" w:hAnsi="Arial" w:cs="Arial"/>
      <w:sz w:val="24"/>
      <w:szCs w:val="24"/>
      <w:lang w:val="es-UY"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suppressLineNumbers/>
      <w:tabs>
        <w:tab w:val="center" w:pos="4818"/>
        <w:tab w:val="right" w:pos="9637"/>
      </w:tabs>
      <w:suppressAutoHyphens/>
      <w:spacing w:after="0" w:line="240" w:lineRule="auto"/>
      <w:jc w:val="left"/>
    </w:pPr>
    <w:rPr>
      <w:rFonts w:ascii="Times New Roman" w:eastAsia="Arial Unicode MS" w:hAnsi="Times New Roman" w:cs="Times New Roman"/>
      <w:lang w:val="es-ES_tradnl"/>
    </w:rPr>
  </w:style>
  <w:style w:type="character" w:customStyle="1" w:styleId="HeaderChar">
    <w:name w:val="Header Char"/>
    <w:basedOn w:val="DefaultParagraphFont"/>
    <w:link w:val="Header"/>
    <w:uiPriority w:val="99"/>
    <w:rPr>
      <w:rFonts w:ascii="Times New Roman" w:eastAsia="Arial Unicode MS" w:hAnsi="Times New Roman" w:cs="Times New Roman"/>
      <w:sz w:val="24"/>
      <w:szCs w:val="24"/>
      <w:lang w:val="es-ES_tradnl"/>
    </w:rPr>
  </w:style>
  <w:style w:type="paragraph" w:styleId="Footer">
    <w:name w:val="footer"/>
    <w:basedOn w:val="Normal"/>
    <w:link w:val="FooterChar"/>
    <w:uiPriority w:val="99"/>
    <w:pPr>
      <w:tabs>
        <w:tab w:val="center" w:pos="4252"/>
        <w:tab w:val="right" w:pos="8504"/>
      </w:tabs>
    </w:pPr>
  </w:style>
  <w:style w:type="character" w:customStyle="1" w:styleId="FooterChar">
    <w:name w:val="Footer Char"/>
    <w:basedOn w:val="DefaultParagraphFont"/>
    <w:link w:val="Footer"/>
    <w:uiPriority w:val="99"/>
    <w:rPr>
      <w:rFonts w:ascii="Times New Roman" w:hAnsi="Times New Roman" w:cs="Times New Roman"/>
      <w:sz w:val="22"/>
      <w:szCs w:val="22"/>
      <w:lang w:eastAsia="en-US"/>
    </w:rPr>
  </w:style>
  <w:style w:type="paragraph" w:styleId="BodyText">
    <w:name w:val="Body Text"/>
    <w:basedOn w:val="Normal"/>
    <w:link w:val="BodyTextChar"/>
    <w:uiPriority w:val="99"/>
    <w:pPr>
      <w:suppressAutoHyphens/>
      <w:spacing w:before="120" w:after="120" w:line="240" w:lineRule="auto"/>
    </w:pPr>
    <w:rPr>
      <w:rFonts w:ascii="Helvetica" w:hAnsi="Helvetica" w:cs="Helvetica"/>
      <w:sz w:val="20"/>
      <w:szCs w:val="20"/>
      <w:lang w:val="es-ES_tradnl" w:eastAsia="ar-SA"/>
    </w:rPr>
  </w:style>
  <w:style w:type="character" w:customStyle="1" w:styleId="BodyTextChar">
    <w:name w:val="Body Text Char"/>
    <w:basedOn w:val="DefaultParagraphFont"/>
    <w:link w:val="BodyText"/>
    <w:uiPriority w:val="99"/>
    <w:semiHidden/>
    <w:rsid w:val="004D1A45"/>
    <w:rPr>
      <w:rFonts w:ascii="Arial" w:hAnsi="Arial" w:cs="Arial"/>
      <w:sz w:val="24"/>
      <w:szCs w:val="24"/>
      <w:lang w:val="es-UY" w:eastAsia="en-US"/>
    </w:rPr>
  </w:style>
  <w:style w:type="paragraph" w:styleId="BodyText3">
    <w:name w:val="Body Text 3"/>
    <w:basedOn w:val="Normal"/>
    <w:link w:val="BodyText3Char"/>
    <w:uiPriority w:val="99"/>
    <w:pPr>
      <w:spacing w:after="0" w:line="360" w:lineRule="auto"/>
    </w:pPr>
    <w:rPr>
      <w:lang w:val="es-MX" w:eastAsia="es-ES"/>
    </w:rPr>
  </w:style>
  <w:style w:type="character" w:customStyle="1" w:styleId="BodyText3Char">
    <w:name w:val="Body Text 3 Char"/>
    <w:basedOn w:val="DefaultParagraphFont"/>
    <w:link w:val="BodyText3"/>
    <w:uiPriority w:val="99"/>
    <w:semiHidden/>
    <w:rsid w:val="004D1A45"/>
    <w:rPr>
      <w:rFonts w:ascii="Arial" w:hAnsi="Arial" w:cs="Arial"/>
      <w:sz w:val="16"/>
      <w:szCs w:val="16"/>
      <w:lang w:val="es-UY" w:eastAsia="en-US"/>
    </w:rPr>
  </w:style>
  <w:style w:type="paragraph" w:styleId="Title">
    <w:name w:val="Title"/>
    <w:basedOn w:val="Normal"/>
    <w:link w:val="TitleChar"/>
    <w:uiPriority w:val="99"/>
    <w:qFormat/>
    <w:pPr>
      <w:spacing w:after="0" w:line="360" w:lineRule="auto"/>
      <w:jc w:val="center"/>
    </w:pPr>
    <w:rPr>
      <w:b/>
      <w:bCs/>
      <w:lang w:val="es-ES" w:eastAsia="es-ES"/>
    </w:rPr>
  </w:style>
  <w:style w:type="character" w:customStyle="1" w:styleId="TitleChar">
    <w:name w:val="Title Char"/>
    <w:basedOn w:val="DefaultParagraphFont"/>
    <w:link w:val="Title"/>
    <w:uiPriority w:val="10"/>
    <w:rsid w:val="004D1A45"/>
    <w:rPr>
      <w:rFonts w:asciiTheme="majorHAnsi" w:eastAsiaTheme="majorEastAsia" w:hAnsiTheme="majorHAnsi" w:cstheme="majorBidi"/>
      <w:b/>
      <w:bCs/>
      <w:kern w:val="28"/>
      <w:sz w:val="32"/>
      <w:szCs w:val="32"/>
      <w:lang w:val="es-UY" w:eastAsia="en-US"/>
    </w:rPr>
  </w:style>
  <w:style w:type="paragraph" w:customStyle="1" w:styleId="Textoindependiente21">
    <w:name w:val="Texto independiente 21"/>
    <w:basedOn w:val="Normal"/>
    <w:uiPriority w:val="99"/>
    <w:pPr>
      <w:suppressAutoHyphens/>
      <w:spacing w:after="0" w:line="360" w:lineRule="auto"/>
    </w:pPr>
    <w:rPr>
      <w:b/>
      <w:bCs/>
      <w:lang w:val="es-ES" w:eastAsia="ar-SA"/>
    </w:rPr>
  </w:style>
  <w:style w:type="paragraph" w:customStyle="1" w:styleId="Continuarlista1">
    <w:name w:val="Continuar lista1"/>
    <w:basedOn w:val="Normal"/>
    <w:uiPriority w:val="99"/>
    <w:pPr>
      <w:numPr>
        <w:numId w:val="4"/>
      </w:numPr>
      <w:suppressAutoHyphens/>
      <w:spacing w:after="120" w:line="240" w:lineRule="auto"/>
      <w:jc w:val="left"/>
    </w:pPr>
    <w:rPr>
      <w:rFonts w:ascii="Times New Roman" w:hAnsi="Times New Roman" w:cstheme="minorBidi"/>
      <w:lang w:val="es-ES" w:eastAsia="ar-SA"/>
    </w:rPr>
  </w:style>
  <w:style w:type="paragraph" w:customStyle="1" w:styleId="Sangra3detindependiente3">
    <w:name w:val="Sangría 3 de t. independiente3"/>
    <w:basedOn w:val="Normal"/>
    <w:uiPriority w:val="99"/>
    <w:pPr>
      <w:suppressAutoHyphens/>
      <w:spacing w:after="0" w:line="360" w:lineRule="auto"/>
      <w:ind w:firstLine="3000"/>
    </w:pPr>
    <w:rPr>
      <w:lang w:val="es-MX"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2208</Words>
  <Characters>12588</Characters>
  <Application>Microsoft Office Outlook</Application>
  <DocSecurity>0</DocSecurity>
  <Lines>0</Lines>
  <Paragraphs>0</Paragraphs>
  <ScaleCrop>false</ScaleCrop>
  <Company>Tribunal de Cuentas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ADOPTADA POR EL</dc:title>
  <dc:subject/>
  <dc:creator>Miriam Cristina Rivero</dc:creator>
  <cp:keywords/>
  <dc:description/>
  <cp:lastModifiedBy>Tribunal1</cp:lastModifiedBy>
  <cp:revision>2</cp:revision>
  <cp:lastPrinted>2013-12-17T14:50:00Z</cp:lastPrinted>
  <dcterms:created xsi:type="dcterms:W3CDTF">2013-12-27T14:34:00Z</dcterms:created>
  <dcterms:modified xsi:type="dcterms:W3CDTF">2013-12-27T14:34:00Z</dcterms:modified>
</cp:coreProperties>
</file>