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BF9" w:rsidRDefault="00166BF9">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166BF9" w:rsidRDefault="00166BF9">
      <w:pPr>
        <w:tabs>
          <w:tab w:val="left" w:pos="-720"/>
        </w:tabs>
        <w:suppressAutoHyphens/>
        <w:jc w:val="center"/>
        <w:rPr>
          <w:rFonts w:ascii="Helvetica" w:hAnsi="Helvetica"/>
          <w:b/>
          <w:lang w:val="es-ES_tradnl"/>
        </w:rPr>
      </w:pPr>
    </w:p>
    <w:p w:rsidR="00166BF9" w:rsidRDefault="00166BF9">
      <w:pPr>
        <w:tabs>
          <w:tab w:val="center" w:pos="4253"/>
        </w:tabs>
        <w:suppressAutoHyphens/>
        <w:jc w:val="center"/>
        <w:rPr>
          <w:rFonts w:ascii="Helvetica" w:hAnsi="Helvetica"/>
          <w:b/>
          <w:lang w:val="es-ES_tradnl"/>
        </w:rPr>
      </w:pPr>
      <w:r>
        <w:rPr>
          <w:rFonts w:ascii="Helvetica" w:hAnsi="Helvetica"/>
          <w:b/>
          <w:lang w:val="es-ES_tradnl"/>
        </w:rPr>
        <w:t>TRIBUNAL DE CUENTAS</w:t>
      </w:r>
    </w:p>
    <w:p w:rsidR="00166BF9" w:rsidRDefault="00166BF9">
      <w:pPr>
        <w:tabs>
          <w:tab w:val="left" w:pos="-720"/>
        </w:tabs>
        <w:suppressAutoHyphens/>
        <w:jc w:val="center"/>
        <w:rPr>
          <w:rFonts w:ascii="Helvetica" w:hAnsi="Helvetica"/>
          <w:b/>
          <w:lang w:val="es-ES_tradnl"/>
        </w:rPr>
      </w:pPr>
    </w:p>
    <w:p w:rsidR="00166BF9" w:rsidRDefault="00166BF9">
      <w:pPr>
        <w:tabs>
          <w:tab w:val="center" w:pos="4253"/>
        </w:tabs>
        <w:suppressAutoHyphens/>
        <w:jc w:val="center"/>
        <w:rPr>
          <w:rFonts w:ascii="Helvetica" w:hAnsi="Helvetica"/>
          <w:b/>
          <w:lang w:val="es-ES_tradnl"/>
        </w:rPr>
      </w:pPr>
      <w:r>
        <w:rPr>
          <w:rFonts w:ascii="Helvetica" w:hAnsi="Helvetica"/>
          <w:b/>
          <w:lang w:val="es-ES_tradnl"/>
        </w:rPr>
        <w:t>EN SESION DE FECHA  11 DE DICIEMBRE  DE   2013</w:t>
      </w:r>
    </w:p>
    <w:p w:rsidR="00166BF9" w:rsidRDefault="00166BF9">
      <w:pPr>
        <w:tabs>
          <w:tab w:val="center" w:pos="4253"/>
        </w:tabs>
        <w:suppressAutoHyphens/>
        <w:jc w:val="center"/>
        <w:rPr>
          <w:rFonts w:ascii="Helvetica" w:hAnsi="Helvetica"/>
          <w:b/>
          <w:lang w:val="es-ES_tradnl"/>
        </w:rPr>
      </w:pPr>
    </w:p>
    <w:p w:rsidR="00166BF9" w:rsidRPr="00166BF9" w:rsidRDefault="00166BF9">
      <w:pPr>
        <w:tabs>
          <w:tab w:val="center" w:pos="4253"/>
        </w:tabs>
        <w:suppressAutoHyphens/>
        <w:jc w:val="center"/>
        <w:rPr>
          <w:rFonts w:ascii="Helvetica" w:hAnsi="Helvetica"/>
          <w:b/>
          <w:lang w:val="es-UY"/>
        </w:rPr>
      </w:pPr>
      <w:r w:rsidRPr="00166BF9">
        <w:rPr>
          <w:rFonts w:ascii="Helvetica" w:hAnsi="Helvetica"/>
          <w:b/>
          <w:lang w:val="es-UY"/>
        </w:rPr>
        <w:t xml:space="preserve">(E. E. Nº 2012-17-1-0002791, </w:t>
      </w:r>
      <w:proofErr w:type="spellStart"/>
      <w:r w:rsidRPr="00166BF9">
        <w:rPr>
          <w:rFonts w:ascii="Helvetica" w:hAnsi="Helvetica"/>
          <w:b/>
          <w:lang w:val="es-UY"/>
        </w:rPr>
        <w:t>Ent</w:t>
      </w:r>
      <w:proofErr w:type="spellEnd"/>
      <w:r w:rsidRPr="00166BF9">
        <w:rPr>
          <w:rFonts w:ascii="Helvetica" w:hAnsi="Helvetica"/>
          <w:b/>
          <w:lang w:val="es-UY"/>
        </w:rPr>
        <w:t>. N° 6597/13.)</w:t>
      </w:r>
    </w:p>
    <w:p w:rsidR="00166BF9" w:rsidRPr="00166BF9" w:rsidRDefault="00166BF9">
      <w:pPr>
        <w:tabs>
          <w:tab w:val="center" w:pos="4253"/>
        </w:tabs>
        <w:suppressAutoHyphens/>
        <w:jc w:val="center"/>
        <w:rPr>
          <w:spacing w:val="-3"/>
          <w:lang w:val="es-UY"/>
        </w:rPr>
      </w:pPr>
    </w:p>
    <w:p w:rsidR="00166BF9" w:rsidRPr="00166BF9" w:rsidRDefault="00166BF9">
      <w:pPr>
        <w:tabs>
          <w:tab w:val="center" w:pos="4253"/>
        </w:tabs>
        <w:suppressAutoHyphens/>
        <w:rPr>
          <w:spacing w:val="-3"/>
          <w:lang w:val="es-UY"/>
        </w:rPr>
      </w:pPr>
    </w:p>
    <w:p w:rsidR="00347347" w:rsidRDefault="00B3150A" w:rsidP="00166BF9">
      <w:pPr>
        <w:pStyle w:val="Textoindependiente"/>
        <w:ind w:firstLine="708"/>
      </w:pPr>
      <w:r>
        <w:rPr>
          <w:b/>
          <w:bCs/>
        </w:rPr>
        <w:t>VISTO</w:t>
      </w:r>
      <w:r>
        <w:t xml:space="preserve">: el </w:t>
      </w:r>
      <w:r w:rsidR="00033DFD">
        <w:t>O</w:t>
      </w:r>
      <w:r>
        <w:t>ficio Nº 1081/13 de fecha 18/11/13, remitido por la Administración Nacional de las Obras Sanitarias del Estado, por el que se comunica la reiteración de un gasto derivado de  la contratación directa para la adquisición de 5.500.000 kilos de cloro líquido;</w:t>
      </w:r>
    </w:p>
    <w:p w:rsidR="00347347" w:rsidRDefault="00B3150A" w:rsidP="00166BF9">
      <w:pPr>
        <w:pStyle w:val="Textoindependiente"/>
        <w:ind w:firstLine="708"/>
      </w:pPr>
      <w:r>
        <w:rPr>
          <w:b/>
          <w:bCs/>
        </w:rPr>
        <w:t xml:space="preserve">RESULTANDO: 1) </w:t>
      </w:r>
      <w:r>
        <w:t xml:space="preserve">que por resolución R/D Nº 1008/10 del 15/7/10, el Directorio autorizó  la contratación directa con </w:t>
      </w:r>
      <w:proofErr w:type="spellStart"/>
      <w:r>
        <w:t>Efice</w:t>
      </w:r>
      <w:proofErr w:type="spellEnd"/>
      <w:r>
        <w:t xml:space="preserve"> S.A. por un monto total de $ 190.304.000 para básico y $ 47.576.000 para ajustes (más impuestos), al amparo de lo dispuesto por el </w:t>
      </w:r>
      <w:r w:rsidR="00166BF9">
        <w:t>A</w:t>
      </w:r>
      <w:r>
        <w:t xml:space="preserve">rtículo 33 </w:t>
      </w:r>
      <w:r w:rsidR="00166BF9">
        <w:t>N</w:t>
      </w:r>
      <w:r>
        <w:t>umeral 3</w:t>
      </w:r>
      <w:r w:rsidR="00166BF9">
        <w:t>)</w:t>
      </w:r>
      <w:r>
        <w:t xml:space="preserve"> </w:t>
      </w:r>
      <w:r w:rsidR="00166BF9">
        <w:t>Li</w:t>
      </w:r>
      <w:r>
        <w:t xml:space="preserve">teral C) del T.O.C.A.F.; gasto que fue observado con fecha 08/09/10, por contravenirse el art. 15 del TOCAF, siendo reiterado el mismo, y mantenida la observación, en </w:t>
      </w:r>
      <w:r w:rsidR="00166BF9">
        <w:t>S</w:t>
      </w:r>
      <w:r>
        <w:t>esión de fecha 09/02/11;</w:t>
      </w:r>
    </w:p>
    <w:p w:rsidR="00347347" w:rsidRDefault="00166BF9" w:rsidP="00166BF9">
      <w:pPr>
        <w:pStyle w:val="Textoindependiente"/>
        <w:ind w:firstLine="2552"/>
      </w:pPr>
      <w:r>
        <w:rPr>
          <w:b/>
        </w:rPr>
        <w:t xml:space="preserve"> </w:t>
      </w:r>
      <w:r w:rsidR="00B3150A" w:rsidRPr="00166BF9">
        <w:rPr>
          <w:b/>
        </w:rPr>
        <w:t>2</w:t>
      </w:r>
      <w:r w:rsidR="00B3150A" w:rsidRPr="00166BF9">
        <w:rPr>
          <w:b/>
          <w:bCs/>
        </w:rPr>
        <w:t>)</w:t>
      </w:r>
      <w:r w:rsidR="00B3150A">
        <w:t xml:space="preserve"> que con fecha 30/08/13, se imputó sin disponibilidad suficiente en el rubro, la suma de $ 26.903.816, m</w:t>
      </w:r>
      <w:r>
        <w:t>á</w:t>
      </w:r>
      <w:r w:rsidR="00B3150A">
        <w:t xml:space="preserve">s IVA; </w:t>
      </w:r>
    </w:p>
    <w:p w:rsidR="00347347" w:rsidRDefault="00166BF9" w:rsidP="00166BF9">
      <w:pPr>
        <w:pStyle w:val="Textoindependiente"/>
        <w:ind w:firstLine="2552"/>
      </w:pPr>
      <w:r>
        <w:rPr>
          <w:b/>
          <w:bCs/>
        </w:rPr>
        <w:t xml:space="preserve"> </w:t>
      </w:r>
      <w:r w:rsidR="00B3150A">
        <w:rPr>
          <w:b/>
          <w:bCs/>
        </w:rPr>
        <w:t>3)</w:t>
      </w:r>
      <w:r w:rsidR="00B3150A">
        <w:t xml:space="preserve"> que este Tribunal en </w:t>
      </w:r>
      <w:r>
        <w:t>S</w:t>
      </w:r>
      <w:r w:rsidR="00B3150A">
        <w:t>esión de fecha 02/10/13, observó el</w:t>
      </w:r>
      <w:r>
        <w:t xml:space="preserve"> gasto en razón  de contravenir</w:t>
      </w:r>
      <w:r w:rsidR="00B3150A">
        <w:t xml:space="preserve"> lo dispuesto en el </w:t>
      </w:r>
      <w:r>
        <w:t>A</w:t>
      </w:r>
      <w:r w:rsidR="00B3150A">
        <w:t>rt</w:t>
      </w:r>
      <w:r>
        <w:t>í</w:t>
      </w:r>
      <w:r w:rsidR="00B3150A">
        <w:t>culo 15 del T.O.C.A.F.;</w:t>
      </w:r>
    </w:p>
    <w:p w:rsidR="00347347" w:rsidRDefault="00B3150A" w:rsidP="00166BF9">
      <w:pPr>
        <w:pStyle w:val="Textoindependiente"/>
        <w:ind w:firstLine="2552"/>
      </w:pPr>
      <w:r>
        <w:rPr>
          <w:b/>
          <w:bCs/>
        </w:rPr>
        <w:t>4)</w:t>
      </w:r>
      <w:r>
        <w:t xml:space="preserve"> que en la oportunidad por Resolución de fecha 12/11/13 el Directorio, reitera el gasto , expresando que el cloro es un insumo imprescindible para la potabilización del agua, siendo el único utilizado por O.S.E. tanto para el tratamiento de aguas superficiales como subterráneas, así como para asegurar su calidad en las redes;  </w:t>
      </w:r>
    </w:p>
    <w:p w:rsidR="00347347" w:rsidRDefault="00B3150A" w:rsidP="00166BF9">
      <w:pPr>
        <w:suppressAutoHyphens/>
        <w:snapToGrid w:val="0"/>
        <w:spacing w:line="360" w:lineRule="auto"/>
        <w:ind w:right="-1" w:firstLine="708"/>
        <w:jc w:val="both"/>
        <w:rPr>
          <w:rFonts w:cs="Arial"/>
          <w:lang w:val="es-MX"/>
        </w:rPr>
      </w:pPr>
      <w:r>
        <w:rPr>
          <w:rFonts w:cs="Arial"/>
          <w:b/>
        </w:rPr>
        <w:t>CONSIDERANDO:</w:t>
      </w:r>
      <w:r>
        <w:rPr>
          <w:rFonts w:cs="Arial"/>
          <w:b/>
          <w:bCs/>
        </w:rPr>
        <w:t xml:space="preserve"> </w:t>
      </w:r>
      <w:r>
        <w:rPr>
          <w:rFonts w:cs="Arial"/>
        </w:rPr>
        <w:t>que  las argumentaciones esgrimidas, no guardan relación directa con  la observación oportunamente efectuada;</w:t>
      </w:r>
    </w:p>
    <w:p w:rsidR="00166BF9" w:rsidRDefault="00B3150A" w:rsidP="00166BF9">
      <w:pPr>
        <w:spacing w:line="360" w:lineRule="auto"/>
        <w:ind w:firstLine="708"/>
        <w:jc w:val="both"/>
        <w:rPr>
          <w:rFonts w:cs="Arial"/>
          <w:spacing w:val="-3"/>
          <w:lang w:val="es-ES_tradnl"/>
        </w:rPr>
      </w:pPr>
      <w:r>
        <w:rPr>
          <w:rFonts w:cs="Arial"/>
          <w:b/>
          <w:spacing w:val="-3"/>
          <w:lang w:val="es-ES_tradnl"/>
        </w:rPr>
        <w:lastRenderedPageBreak/>
        <w:t>ATENTO:</w:t>
      </w:r>
      <w:r>
        <w:rPr>
          <w:rFonts w:cs="Arial"/>
          <w:spacing w:val="-3"/>
          <w:lang w:val="es-ES_tradnl"/>
        </w:rPr>
        <w:t xml:space="preserve"> a lo expresado y a lo dispuesto por el </w:t>
      </w:r>
      <w:r w:rsidR="00166BF9">
        <w:rPr>
          <w:rFonts w:cs="Arial"/>
          <w:spacing w:val="-3"/>
          <w:lang w:val="es-ES_tradnl"/>
        </w:rPr>
        <w:t>A</w:t>
      </w:r>
      <w:r>
        <w:rPr>
          <w:rFonts w:cs="Arial"/>
          <w:spacing w:val="-3"/>
          <w:lang w:val="es-ES_tradnl"/>
        </w:rPr>
        <w:t>rt</w:t>
      </w:r>
      <w:r w:rsidR="00166BF9">
        <w:rPr>
          <w:rFonts w:cs="Arial"/>
          <w:spacing w:val="-3"/>
          <w:lang w:val="es-ES_tradnl"/>
        </w:rPr>
        <w:t xml:space="preserve">ículo </w:t>
      </w:r>
      <w:r>
        <w:rPr>
          <w:rFonts w:cs="Arial"/>
          <w:spacing w:val="-3"/>
          <w:lang w:val="es-ES_tradnl"/>
        </w:rPr>
        <w:t xml:space="preserve"> 211 </w:t>
      </w:r>
      <w:r w:rsidR="00166BF9">
        <w:rPr>
          <w:rFonts w:cs="Arial"/>
          <w:spacing w:val="-3"/>
          <w:lang w:val="es-ES_tradnl"/>
        </w:rPr>
        <w:t>L</w:t>
      </w:r>
      <w:r>
        <w:rPr>
          <w:rFonts w:cs="Arial"/>
          <w:spacing w:val="-3"/>
          <w:lang w:val="es-ES_tradnl"/>
        </w:rPr>
        <w:t>it</w:t>
      </w:r>
      <w:r w:rsidR="00166BF9">
        <w:rPr>
          <w:rFonts w:cs="Arial"/>
          <w:spacing w:val="-3"/>
          <w:lang w:val="es-ES_tradnl"/>
        </w:rPr>
        <w:t>eral</w:t>
      </w:r>
      <w:r>
        <w:rPr>
          <w:rFonts w:cs="Arial"/>
          <w:spacing w:val="-3"/>
          <w:lang w:val="es-ES_tradnl"/>
        </w:rPr>
        <w:t xml:space="preserve"> B) de la Constitución de la República;</w:t>
      </w:r>
    </w:p>
    <w:p w:rsidR="00347347" w:rsidRDefault="00B3150A" w:rsidP="00166BF9">
      <w:pPr>
        <w:spacing w:line="360" w:lineRule="auto"/>
        <w:ind w:firstLine="708"/>
        <w:jc w:val="center"/>
        <w:rPr>
          <w:rFonts w:cs="Arial"/>
          <w:b/>
          <w:bCs/>
        </w:rPr>
      </w:pPr>
      <w:r>
        <w:rPr>
          <w:rFonts w:cs="Arial"/>
          <w:b/>
          <w:bCs/>
        </w:rPr>
        <w:t>EL TRIBUNAL ACUERDA</w:t>
      </w:r>
    </w:p>
    <w:p w:rsidR="00347347" w:rsidRDefault="00B3150A">
      <w:pPr>
        <w:snapToGrid w:val="0"/>
        <w:spacing w:line="360" w:lineRule="auto"/>
        <w:jc w:val="both"/>
        <w:rPr>
          <w:rFonts w:cs="Arial"/>
        </w:rPr>
      </w:pPr>
      <w:r>
        <w:rPr>
          <w:rFonts w:cs="Arial"/>
          <w:b/>
          <w:bCs/>
          <w:lang w:val="es-ES_tradnl"/>
        </w:rPr>
        <w:t xml:space="preserve">1) </w:t>
      </w:r>
      <w:r>
        <w:rPr>
          <w:rFonts w:cs="Arial"/>
        </w:rPr>
        <w:t>Mantener la observación formulada   el 02/10/13</w:t>
      </w:r>
      <w:r w:rsidR="00166BF9">
        <w:rPr>
          <w:rFonts w:cs="Arial"/>
        </w:rPr>
        <w:t>.</w:t>
      </w:r>
    </w:p>
    <w:p w:rsidR="00033DFD" w:rsidRDefault="00B3150A" w:rsidP="00033DFD">
      <w:pPr>
        <w:snapToGrid w:val="0"/>
        <w:spacing w:line="360" w:lineRule="auto"/>
        <w:ind w:left="284" w:hanging="284"/>
        <w:jc w:val="both"/>
        <w:rPr>
          <w:rFonts w:cs="Arial"/>
        </w:rPr>
      </w:pPr>
      <w:r>
        <w:rPr>
          <w:rFonts w:cs="Arial"/>
          <w:b/>
          <w:bCs/>
        </w:rPr>
        <w:t xml:space="preserve">2) </w:t>
      </w:r>
      <w:r>
        <w:rPr>
          <w:rFonts w:cs="Arial"/>
        </w:rPr>
        <w:t>Comunicar al Poder Ejecutivo</w:t>
      </w:r>
      <w:r w:rsidR="00364433">
        <w:rPr>
          <w:rFonts w:cs="Arial"/>
        </w:rPr>
        <w:t>,</w:t>
      </w:r>
      <w:r w:rsidR="00033DFD">
        <w:rPr>
          <w:rFonts w:cs="Arial"/>
        </w:rPr>
        <w:t xml:space="preserve"> a la Administración actuante y a la Contadora Delegada; y</w:t>
      </w:r>
    </w:p>
    <w:p w:rsidR="00033DFD" w:rsidRDefault="00033DFD" w:rsidP="00033DFD">
      <w:pPr>
        <w:snapToGrid w:val="0"/>
        <w:spacing w:line="360" w:lineRule="auto"/>
        <w:jc w:val="both"/>
        <w:rPr>
          <w:rFonts w:cs="Arial"/>
        </w:rPr>
      </w:pPr>
      <w:r w:rsidRPr="00033DFD">
        <w:rPr>
          <w:rFonts w:cs="Arial"/>
          <w:b/>
        </w:rPr>
        <w:t>3)</w:t>
      </w:r>
      <w:r>
        <w:rPr>
          <w:rFonts w:cs="Arial"/>
        </w:rPr>
        <w:t xml:space="preserve"> Dar cuenta a la Asamblea General.</w:t>
      </w:r>
    </w:p>
    <w:p w:rsidR="00B3150A" w:rsidRDefault="00B3150A" w:rsidP="00B3150A">
      <w:pPr>
        <w:snapToGrid w:val="0"/>
        <w:spacing w:line="360" w:lineRule="auto"/>
        <w:jc w:val="right"/>
        <w:rPr>
          <w:rFonts w:cs="Arial"/>
        </w:rPr>
      </w:pPr>
    </w:p>
    <w:p w:rsidR="00347347" w:rsidRDefault="00B3150A" w:rsidP="00033DFD">
      <w:pPr>
        <w:snapToGrid w:val="0"/>
        <w:spacing w:line="360" w:lineRule="auto"/>
        <w:jc w:val="both"/>
        <w:rPr>
          <w:rFonts w:cs="Arial"/>
        </w:rPr>
      </w:pPr>
      <w:r>
        <w:rPr>
          <w:rFonts w:cs="Arial"/>
        </w:rPr>
        <w:t xml:space="preserve"> </w:t>
      </w:r>
    </w:p>
    <w:p w:rsidR="00033DFD" w:rsidRDefault="00033DFD" w:rsidP="00033DFD">
      <w:pPr>
        <w:snapToGrid w:val="0"/>
        <w:spacing w:line="360" w:lineRule="auto"/>
        <w:jc w:val="both"/>
        <w:rPr>
          <w:rFonts w:cs="Arial"/>
        </w:rPr>
      </w:pPr>
    </w:p>
    <w:p w:rsidR="00033DFD" w:rsidRDefault="00033DFD" w:rsidP="00033DFD">
      <w:pPr>
        <w:snapToGrid w:val="0"/>
        <w:spacing w:line="360" w:lineRule="auto"/>
        <w:jc w:val="both"/>
        <w:rPr>
          <w:rFonts w:cs="Arial"/>
        </w:rPr>
      </w:pPr>
    </w:p>
    <w:p w:rsidR="00033DFD" w:rsidRDefault="00033DFD" w:rsidP="00033DFD">
      <w:pPr>
        <w:snapToGrid w:val="0"/>
        <w:spacing w:line="360" w:lineRule="auto"/>
        <w:jc w:val="both"/>
        <w:rPr>
          <w:rFonts w:cs="Arial"/>
        </w:rPr>
      </w:pPr>
    </w:p>
    <w:p w:rsidR="00033DFD" w:rsidRDefault="00033DFD" w:rsidP="00033DFD">
      <w:pPr>
        <w:snapToGrid w:val="0"/>
        <w:spacing w:line="360" w:lineRule="auto"/>
        <w:jc w:val="both"/>
        <w:rPr>
          <w:rFonts w:cs="Arial"/>
        </w:rPr>
      </w:pPr>
    </w:p>
    <w:p w:rsidR="00033DFD" w:rsidRDefault="00033DFD" w:rsidP="00033DFD">
      <w:pPr>
        <w:snapToGrid w:val="0"/>
        <w:spacing w:line="360" w:lineRule="auto"/>
        <w:jc w:val="both"/>
        <w:rPr>
          <w:rFonts w:cs="Arial"/>
        </w:rPr>
      </w:pPr>
    </w:p>
    <w:p w:rsidR="00033DFD" w:rsidRDefault="00033DFD" w:rsidP="00033DFD">
      <w:pPr>
        <w:snapToGrid w:val="0"/>
        <w:spacing w:line="360" w:lineRule="auto"/>
        <w:jc w:val="both"/>
        <w:rPr>
          <w:rFonts w:cs="Arial"/>
        </w:rPr>
      </w:pPr>
    </w:p>
    <w:p w:rsidR="00033DFD" w:rsidRDefault="00033DFD" w:rsidP="00033DFD">
      <w:pPr>
        <w:snapToGrid w:val="0"/>
        <w:spacing w:line="360" w:lineRule="auto"/>
        <w:jc w:val="both"/>
        <w:rPr>
          <w:rFonts w:cs="Arial"/>
        </w:rPr>
      </w:pPr>
    </w:p>
    <w:p w:rsidR="00033DFD" w:rsidRDefault="00033DFD" w:rsidP="00033DFD">
      <w:pPr>
        <w:snapToGrid w:val="0"/>
        <w:spacing w:line="360" w:lineRule="auto"/>
        <w:jc w:val="both"/>
      </w:pPr>
      <w:proofErr w:type="spellStart"/>
      <w:proofErr w:type="gramStart"/>
      <w:r>
        <w:rPr>
          <w:rFonts w:cs="Arial"/>
        </w:rPr>
        <w:t>cr</w:t>
      </w:r>
      <w:proofErr w:type="spellEnd"/>
      <w:proofErr w:type="gramEnd"/>
    </w:p>
    <w:p w:rsidR="00347347" w:rsidRDefault="00347347">
      <w:pPr>
        <w:pStyle w:val="Textoindependiente"/>
        <w:rPr>
          <w:lang w:val="es-ES"/>
        </w:rPr>
      </w:pPr>
    </w:p>
    <w:sectPr w:rsidR="00347347" w:rsidSect="00A24F97">
      <w:footerReference w:type="even" r:id="rId8"/>
      <w:footerReference w:type="default" r:id="rId9"/>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347" w:rsidRDefault="00B3150A">
      <w:r>
        <w:separator/>
      </w:r>
    </w:p>
  </w:endnote>
  <w:endnote w:type="continuationSeparator" w:id="0">
    <w:p w:rsidR="00347347" w:rsidRDefault="00B3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347" w:rsidRDefault="00B3150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47347" w:rsidRDefault="0034734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347" w:rsidRDefault="00B3150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24F97">
      <w:rPr>
        <w:rStyle w:val="Nmerodepgina"/>
        <w:noProof/>
      </w:rPr>
      <w:t>1</w:t>
    </w:r>
    <w:r>
      <w:rPr>
        <w:rStyle w:val="Nmerodepgina"/>
      </w:rPr>
      <w:fldChar w:fldCharType="end"/>
    </w:r>
  </w:p>
  <w:p w:rsidR="00347347" w:rsidRDefault="0034734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347" w:rsidRDefault="00B3150A">
      <w:r>
        <w:separator/>
      </w:r>
    </w:p>
  </w:footnote>
  <w:footnote w:type="continuationSeparator" w:id="0">
    <w:p w:rsidR="00347347" w:rsidRDefault="00B31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270DB"/>
    <w:multiLevelType w:val="hybridMultilevel"/>
    <w:tmpl w:val="826025D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5E286150"/>
    <w:multiLevelType w:val="hybridMultilevel"/>
    <w:tmpl w:val="6BCE5962"/>
    <w:lvl w:ilvl="0" w:tplc="979E0064">
      <w:start w:val="1"/>
      <w:numFmt w:val="decimal"/>
      <w:lvlText w:val="%1)"/>
      <w:lvlJc w:val="left"/>
      <w:pPr>
        <w:tabs>
          <w:tab w:val="num" w:pos="720"/>
        </w:tabs>
        <w:ind w:left="720" w:hanging="360"/>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BF9"/>
    <w:rsid w:val="00033DFD"/>
    <w:rsid w:val="00166BF9"/>
    <w:rsid w:val="00347347"/>
    <w:rsid w:val="00364433"/>
    <w:rsid w:val="00A24F97"/>
    <w:rsid w:val="00B3150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spacing w:line="360" w:lineRule="auto"/>
      <w:jc w:val="both"/>
      <w:outlineLvl w:val="0"/>
    </w:pPr>
    <w:rPr>
      <w:rFonts w:cs="Arial"/>
      <w:b/>
      <w:szCs w:val="20"/>
      <w:lang w:val="es-MX"/>
    </w:rPr>
  </w:style>
  <w:style w:type="paragraph" w:styleId="Ttulo9">
    <w:name w:val="heading 9"/>
    <w:basedOn w:val="Normal"/>
    <w:next w:val="Normal"/>
    <w:qFormat/>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lang w:val="es-ES_tradnl"/>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spacing w:line="360" w:lineRule="auto"/>
      <w:jc w:val="both"/>
      <w:outlineLvl w:val="0"/>
    </w:pPr>
    <w:rPr>
      <w:rFonts w:cs="Arial"/>
      <w:b/>
      <w:szCs w:val="20"/>
      <w:lang w:val="es-MX"/>
    </w:rPr>
  </w:style>
  <w:style w:type="paragraph" w:styleId="Ttulo9">
    <w:name w:val="heading 9"/>
    <w:basedOn w:val="Normal"/>
    <w:next w:val="Normal"/>
    <w:qFormat/>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lang w:val="es-ES_tradnl"/>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1609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CARPETA Nº 219967</vt:lpstr>
    </vt:vector>
  </TitlesOfParts>
  <Company>Tcr</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219967</dc:title>
  <dc:subject/>
  <dc:creator>Tribunal1</dc:creator>
  <cp:keywords/>
  <cp:lastModifiedBy>Miriam Cristina Rivero</cp:lastModifiedBy>
  <cp:revision>2</cp:revision>
  <cp:lastPrinted>2013-12-18T11:48:00Z</cp:lastPrinted>
  <dcterms:created xsi:type="dcterms:W3CDTF">2013-12-18T11:48:00Z</dcterms:created>
  <dcterms:modified xsi:type="dcterms:W3CDTF">2013-12-18T11:48:00Z</dcterms:modified>
</cp:coreProperties>
</file>