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B3" w:rsidRDefault="009719B3">
      <w:pPr>
        <w:tabs>
          <w:tab w:val="center" w:pos="4253"/>
        </w:tabs>
        <w:suppressAutoHyphens/>
        <w:rPr>
          <w:rFonts w:ascii="Arial" w:hAnsi="Arial"/>
          <w:spacing w:val="-3"/>
          <w:lang w:val="en-US"/>
        </w:rPr>
      </w:pPr>
    </w:p>
    <w:p w:rsidR="009719B3" w:rsidRDefault="009719B3" w:rsidP="00426D28">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9719B3" w:rsidRDefault="009719B3" w:rsidP="00426D28">
      <w:pPr>
        <w:tabs>
          <w:tab w:val="left" w:pos="-720"/>
        </w:tabs>
        <w:suppressAutoHyphens/>
        <w:jc w:val="center"/>
        <w:rPr>
          <w:rFonts w:ascii="Helvetica" w:hAnsi="Helvetica"/>
          <w:b/>
          <w:lang w:val="es-ES_tradnl"/>
        </w:rPr>
      </w:pPr>
    </w:p>
    <w:p w:rsidR="009719B3" w:rsidRDefault="009719B3" w:rsidP="00426D28">
      <w:pPr>
        <w:tabs>
          <w:tab w:val="center" w:pos="4253"/>
        </w:tabs>
        <w:suppressAutoHyphens/>
        <w:jc w:val="center"/>
        <w:rPr>
          <w:rFonts w:ascii="Helvetica" w:hAnsi="Helvetica"/>
          <w:b/>
          <w:lang w:val="es-ES_tradnl"/>
        </w:rPr>
      </w:pPr>
      <w:r>
        <w:rPr>
          <w:rFonts w:ascii="Helvetica" w:hAnsi="Helvetica"/>
          <w:b/>
          <w:lang w:val="es-ES_tradnl"/>
        </w:rPr>
        <w:t>TRIBUNAL DE CUENTAS</w:t>
      </w:r>
    </w:p>
    <w:p w:rsidR="009719B3" w:rsidRDefault="009719B3" w:rsidP="00426D28">
      <w:pPr>
        <w:tabs>
          <w:tab w:val="left" w:pos="-720"/>
        </w:tabs>
        <w:suppressAutoHyphens/>
        <w:jc w:val="center"/>
        <w:rPr>
          <w:rFonts w:ascii="Helvetica" w:hAnsi="Helvetica"/>
          <w:b/>
          <w:lang w:val="es-ES_tradnl"/>
        </w:rPr>
      </w:pPr>
    </w:p>
    <w:p w:rsidR="009719B3" w:rsidRDefault="009719B3" w:rsidP="00426D28">
      <w:pPr>
        <w:tabs>
          <w:tab w:val="center" w:pos="4253"/>
        </w:tabs>
        <w:suppressAutoHyphens/>
        <w:jc w:val="center"/>
        <w:rPr>
          <w:rFonts w:ascii="Helvetica" w:hAnsi="Helvetica"/>
          <w:b/>
          <w:lang w:val="es-ES_tradnl"/>
        </w:rPr>
      </w:pPr>
      <w:r>
        <w:rPr>
          <w:rFonts w:ascii="Helvetica" w:hAnsi="Helvetica"/>
          <w:b/>
          <w:lang w:val="es-ES_tradnl"/>
        </w:rPr>
        <w:t>EN SESION DE FECHA 11 DE DICIEMBRE DE 2013</w:t>
      </w:r>
    </w:p>
    <w:p w:rsidR="009719B3" w:rsidRDefault="009719B3" w:rsidP="00426D28">
      <w:pPr>
        <w:tabs>
          <w:tab w:val="center" w:pos="4253"/>
        </w:tabs>
        <w:suppressAutoHyphens/>
        <w:jc w:val="center"/>
        <w:rPr>
          <w:rFonts w:ascii="Helvetica" w:hAnsi="Helvetica"/>
          <w:b/>
          <w:lang w:val="es-ES_tradnl"/>
        </w:rPr>
      </w:pPr>
    </w:p>
    <w:p w:rsidR="009719B3" w:rsidRPr="009719B3" w:rsidRDefault="009719B3" w:rsidP="00426D28">
      <w:pPr>
        <w:tabs>
          <w:tab w:val="center" w:pos="4253"/>
        </w:tabs>
        <w:suppressAutoHyphens/>
        <w:jc w:val="center"/>
        <w:rPr>
          <w:rFonts w:ascii="Helvetica" w:hAnsi="Helvetica"/>
          <w:b/>
          <w:lang w:val="es-UY"/>
        </w:rPr>
      </w:pPr>
      <w:r w:rsidRPr="009719B3">
        <w:rPr>
          <w:rFonts w:ascii="Helvetica" w:hAnsi="Helvetica"/>
          <w:b/>
          <w:lang w:val="es-UY"/>
        </w:rPr>
        <w:t xml:space="preserve">(E. E. Nº 2013-17-1-0003909, </w:t>
      </w:r>
      <w:proofErr w:type="spellStart"/>
      <w:r w:rsidRPr="009719B3">
        <w:rPr>
          <w:rFonts w:ascii="Helvetica" w:hAnsi="Helvetica"/>
          <w:b/>
          <w:lang w:val="es-UY"/>
        </w:rPr>
        <w:t>Ent</w:t>
      </w:r>
      <w:proofErr w:type="spellEnd"/>
      <w:r w:rsidRPr="009719B3">
        <w:rPr>
          <w:rFonts w:ascii="Helvetica" w:hAnsi="Helvetica"/>
          <w:b/>
          <w:lang w:val="es-UY"/>
        </w:rPr>
        <w:t>. N° 6156/13.)</w:t>
      </w:r>
    </w:p>
    <w:p w:rsidR="009719B3" w:rsidRPr="009719B3" w:rsidRDefault="009719B3" w:rsidP="00426D28">
      <w:pPr>
        <w:tabs>
          <w:tab w:val="center" w:pos="4253"/>
        </w:tabs>
        <w:suppressAutoHyphens/>
        <w:jc w:val="center"/>
        <w:rPr>
          <w:rFonts w:ascii="Arial" w:hAnsi="Arial"/>
          <w:spacing w:val="-3"/>
          <w:lang w:val="es-UY"/>
        </w:rPr>
      </w:pPr>
    </w:p>
    <w:p w:rsidR="009719B3" w:rsidRPr="009719B3" w:rsidRDefault="009719B3">
      <w:pPr>
        <w:rPr>
          <w:rFonts w:ascii="Arial" w:hAnsi="Arial"/>
          <w:lang w:val="es-UY"/>
        </w:rPr>
      </w:pPr>
    </w:p>
    <w:p w:rsidR="008434D7" w:rsidRDefault="000D10D4" w:rsidP="009719B3">
      <w:pPr>
        <w:spacing w:line="360" w:lineRule="auto"/>
        <w:ind w:firstLine="708"/>
        <w:jc w:val="both"/>
        <w:rPr>
          <w:rFonts w:ascii="Arial" w:hAnsi="Arial" w:cs="Arial"/>
          <w:lang w:val="es-MX"/>
        </w:rPr>
      </w:pPr>
      <w:r>
        <w:rPr>
          <w:rFonts w:ascii="Arial" w:hAnsi="Arial" w:cs="Arial"/>
          <w:b/>
          <w:bCs/>
          <w:lang w:val="es-MX"/>
        </w:rPr>
        <w:t xml:space="preserve">VISTO: </w:t>
      </w:r>
      <w:r>
        <w:rPr>
          <w:rFonts w:ascii="Arial" w:hAnsi="Arial" w:cs="Arial"/>
          <w:lang w:val="es-MX"/>
        </w:rPr>
        <w:t>la nota de fecha 30.10.13, remitida por el Contador Delegado en la Administración Nacional de Telecomunicaciones, relacionada con la reiteración del gasto derivado de la ampliación de la contratación del suministro, instalación e integración a la red existente  en la modalidad “llave en mano” de un</w:t>
      </w:r>
      <w:r w:rsidR="009719B3">
        <w:rPr>
          <w:rFonts w:ascii="Arial" w:hAnsi="Arial" w:cs="Arial"/>
          <w:lang w:val="es-MX"/>
        </w:rPr>
        <w:t xml:space="preserve">a </w:t>
      </w:r>
      <w:r>
        <w:rPr>
          <w:rFonts w:ascii="Arial" w:hAnsi="Arial" w:cs="Arial"/>
          <w:lang w:val="es-MX"/>
        </w:rPr>
        <w:t xml:space="preserve">red de acceso por fibra óptica de tipo GPON y sus servicios asociados, en toda la República; </w:t>
      </w:r>
    </w:p>
    <w:p w:rsidR="008434D7" w:rsidRDefault="000D10D4" w:rsidP="009719B3">
      <w:pPr>
        <w:spacing w:line="360" w:lineRule="auto"/>
        <w:ind w:firstLine="708"/>
        <w:jc w:val="both"/>
        <w:rPr>
          <w:rFonts w:ascii="Arial" w:hAnsi="Arial" w:cs="Arial"/>
        </w:rPr>
      </w:pPr>
      <w:r>
        <w:rPr>
          <w:rFonts w:ascii="Arial" w:hAnsi="Arial" w:cs="Arial"/>
          <w:b/>
          <w:bCs/>
          <w:lang w:val="es-MX"/>
        </w:rPr>
        <w:t>RESULTANDO:</w:t>
      </w:r>
      <w:r>
        <w:rPr>
          <w:rFonts w:ascii="Arial" w:hAnsi="Arial" w:cs="Arial"/>
          <w:lang w:val="es-MX"/>
        </w:rPr>
        <w:t xml:space="preserve"> </w:t>
      </w:r>
      <w:r>
        <w:rPr>
          <w:rFonts w:ascii="Arial" w:hAnsi="Arial" w:cs="Arial"/>
          <w:b/>
          <w:bCs/>
        </w:rPr>
        <w:t xml:space="preserve">1) </w:t>
      </w:r>
      <w:r>
        <w:rPr>
          <w:rFonts w:ascii="Arial" w:hAnsi="Arial" w:cs="Arial"/>
        </w:rPr>
        <w:t xml:space="preserve">que por Resolución Nº 586/12 de fecha 04/05/12, el Directorio dispuso adjudicar por menor precio y cumplimiento de los requisitos solicitados, a ZTE </w:t>
      </w:r>
      <w:proofErr w:type="spellStart"/>
      <w:r>
        <w:rPr>
          <w:rFonts w:ascii="Arial" w:hAnsi="Arial" w:cs="Arial"/>
        </w:rPr>
        <w:t>Corporation</w:t>
      </w:r>
      <w:proofErr w:type="spellEnd"/>
      <w:r>
        <w:rPr>
          <w:rFonts w:ascii="Arial" w:hAnsi="Arial" w:cs="Arial"/>
        </w:rPr>
        <w:t>, por la contratación original más 100% de uso de opción por un total de U$S 30.052.138,50;</w:t>
      </w:r>
    </w:p>
    <w:p w:rsidR="008434D7" w:rsidRDefault="000D10D4" w:rsidP="009719B3">
      <w:pPr>
        <w:spacing w:line="360" w:lineRule="auto"/>
        <w:ind w:firstLine="2552"/>
        <w:jc w:val="both"/>
        <w:rPr>
          <w:rFonts w:ascii="Arial" w:hAnsi="Arial" w:cs="Arial"/>
        </w:rPr>
      </w:pPr>
      <w:r w:rsidRPr="009719B3">
        <w:rPr>
          <w:rFonts w:ascii="Arial" w:hAnsi="Arial" w:cs="Arial"/>
          <w:b/>
        </w:rPr>
        <w:t>2</w:t>
      </w:r>
      <w:r w:rsidRPr="009719B3">
        <w:rPr>
          <w:rFonts w:ascii="Arial" w:hAnsi="Arial" w:cs="Arial"/>
          <w:b/>
          <w:bCs/>
        </w:rPr>
        <w:t>)</w:t>
      </w:r>
      <w:r>
        <w:rPr>
          <w:rFonts w:ascii="Arial" w:hAnsi="Arial" w:cs="Arial"/>
        </w:rPr>
        <w:t xml:space="preserve"> que por Resolución Nº 1024/13 de fecha 13.06.13, se dispuso la ampliación de la referida contratación, ascendiendo el monto de la misma a U$S 30.052.138,50 (IVA incluido);</w:t>
      </w:r>
    </w:p>
    <w:p w:rsidR="008434D7" w:rsidRDefault="000D10D4" w:rsidP="009719B3">
      <w:pPr>
        <w:spacing w:line="360" w:lineRule="auto"/>
        <w:ind w:firstLine="2552"/>
        <w:jc w:val="both"/>
        <w:rPr>
          <w:rFonts w:ascii="Arial" w:hAnsi="Arial" w:cs="Arial"/>
        </w:rPr>
      </w:pPr>
      <w:r w:rsidRPr="009719B3">
        <w:rPr>
          <w:rFonts w:ascii="Arial" w:hAnsi="Arial" w:cs="Arial"/>
          <w:b/>
        </w:rPr>
        <w:t>3</w:t>
      </w:r>
      <w:r>
        <w:rPr>
          <w:rFonts w:ascii="Arial" w:hAnsi="Arial" w:cs="Arial"/>
          <w:b/>
          <w:bCs/>
        </w:rPr>
        <w:t>)</w:t>
      </w:r>
      <w:r>
        <w:rPr>
          <w:rFonts w:ascii="Arial" w:hAnsi="Arial" w:cs="Arial"/>
        </w:rPr>
        <w:t xml:space="preserve"> que en Sesión de fecha 24 de julio de 2013, este Tribunal observó el gasto de U$S 8.366.031,89, (monto que fuera imputado correspondiente al Ejercicio 2013), por falta de disponibilidad presu</w:t>
      </w:r>
      <w:r w:rsidR="009719B3">
        <w:rPr>
          <w:rFonts w:ascii="Arial" w:hAnsi="Arial" w:cs="Arial"/>
        </w:rPr>
        <w:t>puestal en el rubro de afectació</w:t>
      </w:r>
      <w:r>
        <w:rPr>
          <w:rFonts w:ascii="Arial" w:hAnsi="Arial" w:cs="Arial"/>
        </w:rPr>
        <w:t xml:space="preserve">n;  </w:t>
      </w:r>
    </w:p>
    <w:p w:rsidR="008434D7" w:rsidRDefault="000D10D4" w:rsidP="009719B3">
      <w:pPr>
        <w:spacing w:line="360" w:lineRule="auto"/>
        <w:ind w:firstLine="2552"/>
        <w:jc w:val="both"/>
        <w:rPr>
          <w:rFonts w:ascii="Arial" w:hAnsi="Arial" w:cs="Arial"/>
        </w:rPr>
      </w:pPr>
      <w:r w:rsidRPr="009719B3">
        <w:rPr>
          <w:rFonts w:ascii="Arial" w:hAnsi="Arial" w:cs="Arial"/>
          <w:b/>
          <w:spacing w:val="-10"/>
        </w:rPr>
        <w:t>4</w:t>
      </w:r>
      <w:r w:rsidRPr="009719B3">
        <w:rPr>
          <w:rFonts w:ascii="Arial" w:hAnsi="Arial" w:cs="Arial"/>
          <w:b/>
          <w:bCs/>
          <w:spacing w:val="-10"/>
        </w:rPr>
        <w:t>)</w:t>
      </w:r>
      <w:r w:rsidRPr="009719B3">
        <w:rPr>
          <w:rFonts w:ascii="Arial" w:hAnsi="Arial" w:cs="Arial"/>
          <w:spacing w:val="-10"/>
        </w:rPr>
        <w:t xml:space="preserve"> que en esta oportunidad, se remite Resolución Nº 1414/13 de fecha 08.08.13, por la que el Directorio  reitera el gasto de  U$S</w:t>
      </w:r>
      <w:r w:rsidR="009719B3">
        <w:rPr>
          <w:rFonts w:ascii="Arial" w:hAnsi="Arial" w:cs="Arial"/>
        </w:rPr>
        <w:t xml:space="preserve"> 30.052.138,50, aduciendo</w:t>
      </w:r>
      <w:r>
        <w:rPr>
          <w:rFonts w:ascii="Arial" w:hAnsi="Arial" w:cs="Arial"/>
        </w:rPr>
        <w:t xml:space="preserve"> que la contratación es necesaria para disponer de los equipos y terminales necesarios para completar el cronograma previsto para todo el país;</w:t>
      </w:r>
    </w:p>
    <w:p w:rsidR="008434D7" w:rsidRDefault="000D10D4" w:rsidP="009719B3">
      <w:pPr>
        <w:spacing w:line="360" w:lineRule="auto"/>
        <w:ind w:firstLine="2552"/>
        <w:jc w:val="both"/>
        <w:rPr>
          <w:rFonts w:ascii="Arial" w:hAnsi="Arial" w:cs="Arial"/>
          <w:highlight w:val="yellow"/>
        </w:rPr>
      </w:pPr>
      <w:r>
        <w:rPr>
          <w:rFonts w:ascii="Arial" w:hAnsi="Arial" w:cs="Arial"/>
          <w:b/>
          <w:bCs/>
        </w:rPr>
        <w:lastRenderedPageBreak/>
        <w:t>5)</w:t>
      </w:r>
      <w:r>
        <w:rPr>
          <w:rFonts w:ascii="Arial" w:hAnsi="Arial" w:cs="Arial"/>
        </w:rPr>
        <w:t xml:space="preserve"> que con fecha 20.08.13, el Contador Delegado intervino por reiteración;</w:t>
      </w:r>
    </w:p>
    <w:p w:rsidR="008434D7" w:rsidRDefault="000D10D4" w:rsidP="009719B3">
      <w:pPr>
        <w:spacing w:line="360" w:lineRule="auto"/>
        <w:ind w:firstLine="708"/>
        <w:jc w:val="both"/>
        <w:rPr>
          <w:rFonts w:ascii="Arial" w:hAnsi="Arial" w:cs="Arial"/>
          <w:lang w:val="es-MX"/>
        </w:rPr>
      </w:pPr>
      <w:r>
        <w:rPr>
          <w:rFonts w:ascii="Arial" w:hAnsi="Arial" w:cs="Arial"/>
          <w:b/>
          <w:lang w:val="es-MX"/>
        </w:rPr>
        <w:t>CONSIDERANDO</w:t>
      </w:r>
      <w:r>
        <w:rPr>
          <w:rFonts w:ascii="Arial" w:hAnsi="Arial" w:cs="Arial"/>
          <w:lang w:val="es-MX"/>
        </w:rPr>
        <w:t xml:space="preserve">: que </w:t>
      </w:r>
      <w:r>
        <w:rPr>
          <w:rFonts w:ascii="Arial" w:hAnsi="Arial" w:cs="Arial"/>
        </w:rPr>
        <w:t>los argumentos esgrimidos por la Administración, no guardan relación directa con la observación oportunamente efectuada</w:t>
      </w:r>
      <w:r>
        <w:rPr>
          <w:rFonts w:ascii="Arial" w:hAnsi="Arial" w:cs="Arial"/>
          <w:lang w:val="es-MX"/>
        </w:rPr>
        <w:t>;</w:t>
      </w:r>
    </w:p>
    <w:p w:rsidR="008434D7" w:rsidRDefault="000D10D4" w:rsidP="000D10D4">
      <w:pPr>
        <w:spacing w:line="360" w:lineRule="auto"/>
        <w:ind w:firstLine="708"/>
        <w:jc w:val="both"/>
        <w:rPr>
          <w:rFonts w:ascii="Arial" w:hAnsi="Arial" w:cs="Arial"/>
          <w:lang w:val="es-MX"/>
        </w:rPr>
      </w:pPr>
      <w:r>
        <w:rPr>
          <w:rFonts w:ascii="Arial" w:hAnsi="Arial" w:cs="Arial"/>
          <w:b/>
          <w:lang w:val="es-MX"/>
        </w:rPr>
        <w:t>ATENTO:</w:t>
      </w:r>
      <w:r>
        <w:rPr>
          <w:rFonts w:ascii="Arial" w:hAnsi="Arial" w:cs="Arial"/>
          <w:lang w:val="es-MX"/>
        </w:rPr>
        <w:t xml:space="preserve"> a lo expresado y a lo dispuesto por el Artículo 211 Literal B) de la Constitución de la República;</w:t>
      </w:r>
    </w:p>
    <w:p w:rsidR="008434D7" w:rsidRDefault="000D10D4">
      <w:pPr>
        <w:spacing w:line="360" w:lineRule="auto"/>
        <w:jc w:val="both"/>
        <w:rPr>
          <w:rFonts w:ascii="Arial" w:hAnsi="Arial" w:cs="Arial"/>
          <w:b/>
          <w:lang w:val="es-MX"/>
        </w:rPr>
      </w:pPr>
      <w:r>
        <w:rPr>
          <w:rFonts w:ascii="Arial" w:hAnsi="Arial" w:cs="Arial"/>
          <w:lang w:val="es-MX"/>
        </w:rPr>
        <w:t xml:space="preserve">                                                 </w:t>
      </w:r>
      <w:r>
        <w:rPr>
          <w:rFonts w:ascii="Arial" w:hAnsi="Arial" w:cs="Arial"/>
          <w:b/>
          <w:lang w:val="es-MX"/>
        </w:rPr>
        <w:t>EL TRIBUNAL ACUERDA</w:t>
      </w:r>
    </w:p>
    <w:p w:rsidR="008434D7" w:rsidRDefault="000D10D4" w:rsidP="000D10D4">
      <w:pPr>
        <w:pStyle w:val="Ttulo9"/>
        <w:ind w:left="0" w:firstLine="0"/>
        <w:rPr>
          <w:rFonts w:cs="Arial"/>
          <w:b w:val="0"/>
          <w:bCs w:val="0"/>
        </w:rPr>
      </w:pPr>
      <w:r>
        <w:rPr>
          <w:rFonts w:cs="Arial"/>
          <w:lang w:val="es-MX"/>
        </w:rPr>
        <w:t xml:space="preserve">1) </w:t>
      </w:r>
      <w:r>
        <w:rPr>
          <w:rFonts w:cs="Arial"/>
          <w:b w:val="0"/>
          <w:bCs w:val="0"/>
        </w:rPr>
        <w:t>Mantener la observación formulada con fecha 24 de julio de 2013;</w:t>
      </w:r>
    </w:p>
    <w:p w:rsidR="008434D7" w:rsidRDefault="000D10D4" w:rsidP="000D10D4">
      <w:pPr>
        <w:pStyle w:val="Ttulo7"/>
        <w:rPr>
          <w:rFonts w:cs="Arial"/>
        </w:rPr>
      </w:pPr>
      <w:r w:rsidRPr="000D10D4">
        <w:rPr>
          <w:rFonts w:cs="Arial"/>
          <w:b/>
        </w:rPr>
        <w:t>2)</w:t>
      </w:r>
      <w:r>
        <w:rPr>
          <w:rFonts w:cs="Arial"/>
        </w:rPr>
        <w:t xml:space="preserve"> Comunicar  al Poder Ejecutivo y al Organismo;</w:t>
      </w:r>
      <w:r w:rsidR="00F938D0">
        <w:rPr>
          <w:rFonts w:cs="Arial"/>
        </w:rPr>
        <w:t xml:space="preserve"> y</w:t>
      </w:r>
      <w:bookmarkStart w:id="0" w:name="_GoBack"/>
      <w:bookmarkEnd w:id="0"/>
    </w:p>
    <w:p w:rsidR="000D10D4" w:rsidRDefault="000D10D4" w:rsidP="000D10D4">
      <w:pPr>
        <w:pStyle w:val="Ttulo7"/>
        <w:rPr>
          <w:rFonts w:cs="Arial"/>
        </w:rPr>
      </w:pPr>
      <w:r w:rsidRPr="000D10D4">
        <w:rPr>
          <w:rFonts w:cs="Arial"/>
          <w:b/>
        </w:rPr>
        <w:t>3)</w:t>
      </w:r>
      <w:r>
        <w:rPr>
          <w:rFonts w:cs="Arial"/>
          <w:b/>
        </w:rPr>
        <w:t xml:space="preserve"> </w:t>
      </w:r>
      <w:r>
        <w:rPr>
          <w:rFonts w:cs="Arial"/>
        </w:rPr>
        <w:t>Dar cuenta a la Asamblea General</w:t>
      </w:r>
      <w:r w:rsidR="00F938D0">
        <w:rPr>
          <w:rFonts w:cs="Arial"/>
        </w:rPr>
        <w:t>.</w:t>
      </w:r>
    </w:p>
    <w:p w:rsidR="008434D7" w:rsidRDefault="008434D7">
      <w:pPr>
        <w:ind w:left="375"/>
        <w:rPr>
          <w:rFonts w:ascii="Arial" w:hAnsi="Arial" w:cs="Arial"/>
          <w:lang w:val="es-ES_tradnl"/>
        </w:rPr>
      </w:pPr>
    </w:p>
    <w:p w:rsidR="008434D7" w:rsidRDefault="000D10D4">
      <w:pPr>
        <w:spacing w:line="360" w:lineRule="auto"/>
        <w:ind w:left="360"/>
        <w:jc w:val="right"/>
        <w:rPr>
          <w:rFonts w:ascii="Arial" w:hAnsi="Arial" w:cs="Arial"/>
          <w:lang w:val="es-MX"/>
        </w:rPr>
      </w:pPr>
      <w:r>
        <w:rPr>
          <w:rFonts w:ascii="Arial" w:hAnsi="Arial" w:cs="Arial"/>
          <w:lang w:val="es-MX"/>
        </w:rPr>
        <w:t xml:space="preserve">                                               </w:t>
      </w:r>
    </w:p>
    <w:p w:rsidR="000D10D4" w:rsidRDefault="000D10D4">
      <w:pPr>
        <w:spacing w:line="360" w:lineRule="auto"/>
        <w:ind w:left="360"/>
        <w:jc w:val="right"/>
        <w:rPr>
          <w:rFonts w:ascii="Arial" w:hAnsi="Arial" w:cs="Arial"/>
          <w:lang w:val="es-MX"/>
        </w:rPr>
      </w:pPr>
    </w:p>
    <w:p w:rsidR="000D10D4" w:rsidRDefault="000D10D4">
      <w:pPr>
        <w:spacing w:line="360" w:lineRule="auto"/>
        <w:ind w:left="360"/>
        <w:jc w:val="right"/>
        <w:rPr>
          <w:rFonts w:ascii="Arial" w:hAnsi="Arial" w:cs="Arial"/>
          <w:lang w:val="es-MX"/>
        </w:rPr>
      </w:pPr>
    </w:p>
    <w:p w:rsidR="000D10D4" w:rsidRDefault="000D10D4" w:rsidP="000D10D4">
      <w:pPr>
        <w:spacing w:line="360" w:lineRule="auto"/>
        <w:rPr>
          <w:rFonts w:ascii="Arial" w:hAnsi="Arial" w:cs="Arial"/>
          <w:lang w:val="es-MX"/>
        </w:rPr>
      </w:pPr>
      <w:proofErr w:type="spellStart"/>
      <w:proofErr w:type="gramStart"/>
      <w:r>
        <w:rPr>
          <w:rFonts w:ascii="Arial" w:hAnsi="Arial" w:cs="Arial"/>
          <w:lang w:val="es-MX"/>
        </w:rPr>
        <w:t>cr</w:t>
      </w:r>
      <w:proofErr w:type="spellEnd"/>
      <w:proofErr w:type="gramEnd"/>
    </w:p>
    <w:sectPr w:rsidR="000D10D4" w:rsidSect="009719B3">
      <w:footerReference w:type="even" r:id="rId8"/>
      <w:footerReference w:type="default" r:id="rId9"/>
      <w:pgSz w:w="11907" w:h="16840"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4D7" w:rsidRDefault="000D10D4">
      <w:r>
        <w:separator/>
      </w:r>
    </w:p>
  </w:endnote>
  <w:endnote w:type="continuationSeparator" w:id="0">
    <w:p w:rsidR="008434D7" w:rsidRDefault="000D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D7" w:rsidRDefault="000D10D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434D7" w:rsidRDefault="008434D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D7" w:rsidRDefault="000D10D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38D0">
      <w:rPr>
        <w:rStyle w:val="Nmerodepgina"/>
        <w:noProof/>
      </w:rPr>
      <w:t>2</w:t>
    </w:r>
    <w:r>
      <w:rPr>
        <w:rStyle w:val="Nmerodepgina"/>
      </w:rPr>
      <w:fldChar w:fldCharType="end"/>
    </w:r>
  </w:p>
  <w:p w:rsidR="008434D7" w:rsidRDefault="008434D7" w:rsidP="009719B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4D7" w:rsidRDefault="000D10D4">
      <w:r>
        <w:separator/>
      </w:r>
    </w:p>
  </w:footnote>
  <w:footnote w:type="continuationSeparator" w:id="0">
    <w:p w:rsidR="008434D7" w:rsidRDefault="000D1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07D6C"/>
    <w:multiLevelType w:val="hybridMultilevel"/>
    <w:tmpl w:val="7848FF96"/>
    <w:lvl w:ilvl="0" w:tplc="FE84C60C">
      <w:start w:val="1"/>
      <w:numFmt w:val="decimal"/>
      <w:lvlText w:val="%1)"/>
      <w:lvlJc w:val="left"/>
      <w:pPr>
        <w:tabs>
          <w:tab w:val="num" w:pos="735"/>
        </w:tabs>
        <w:ind w:left="735" w:hanging="360"/>
      </w:pPr>
      <w:rPr>
        <w:rFonts w:hint="default"/>
        <w:b/>
      </w:rPr>
    </w:lvl>
    <w:lvl w:ilvl="1" w:tplc="0C0A0019" w:tentative="1">
      <w:start w:val="1"/>
      <w:numFmt w:val="lowerLetter"/>
      <w:lvlText w:val="%2."/>
      <w:lvlJc w:val="left"/>
      <w:pPr>
        <w:tabs>
          <w:tab w:val="num" w:pos="1455"/>
        </w:tabs>
        <w:ind w:left="1455" w:hanging="360"/>
      </w:pPr>
    </w:lvl>
    <w:lvl w:ilvl="2" w:tplc="0C0A001B" w:tentative="1">
      <w:start w:val="1"/>
      <w:numFmt w:val="lowerRoman"/>
      <w:lvlText w:val="%3."/>
      <w:lvlJc w:val="right"/>
      <w:pPr>
        <w:tabs>
          <w:tab w:val="num" w:pos="2175"/>
        </w:tabs>
        <w:ind w:left="2175" w:hanging="180"/>
      </w:pPr>
    </w:lvl>
    <w:lvl w:ilvl="3" w:tplc="0C0A000F" w:tentative="1">
      <w:start w:val="1"/>
      <w:numFmt w:val="decimal"/>
      <w:lvlText w:val="%4."/>
      <w:lvlJc w:val="left"/>
      <w:pPr>
        <w:tabs>
          <w:tab w:val="num" w:pos="2895"/>
        </w:tabs>
        <w:ind w:left="2895" w:hanging="360"/>
      </w:pPr>
    </w:lvl>
    <w:lvl w:ilvl="4" w:tplc="0C0A0019" w:tentative="1">
      <w:start w:val="1"/>
      <w:numFmt w:val="lowerLetter"/>
      <w:lvlText w:val="%5."/>
      <w:lvlJc w:val="left"/>
      <w:pPr>
        <w:tabs>
          <w:tab w:val="num" w:pos="3615"/>
        </w:tabs>
        <w:ind w:left="3615" w:hanging="360"/>
      </w:pPr>
    </w:lvl>
    <w:lvl w:ilvl="5" w:tplc="0C0A001B" w:tentative="1">
      <w:start w:val="1"/>
      <w:numFmt w:val="lowerRoman"/>
      <w:lvlText w:val="%6."/>
      <w:lvlJc w:val="right"/>
      <w:pPr>
        <w:tabs>
          <w:tab w:val="num" w:pos="4335"/>
        </w:tabs>
        <w:ind w:left="4335" w:hanging="180"/>
      </w:pPr>
    </w:lvl>
    <w:lvl w:ilvl="6" w:tplc="0C0A000F" w:tentative="1">
      <w:start w:val="1"/>
      <w:numFmt w:val="decimal"/>
      <w:lvlText w:val="%7."/>
      <w:lvlJc w:val="left"/>
      <w:pPr>
        <w:tabs>
          <w:tab w:val="num" w:pos="5055"/>
        </w:tabs>
        <w:ind w:left="5055" w:hanging="360"/>
      </w:pPr>
    </w:lvl>
    <w:lvl w:ilvl="7" w:tplc="0C0A0019" w:tentative="1">
      <w:start w:val="1"/>
      <w:numFmt w:val="lowerLetter"/>
      <w:lvlText w:val="%8."/>
      <w:lvlJc w:val="left"/>
      <w:pPr>
        <w:tabs>
          <w:tab w:val="num" w:pos="5775"/>
        </w:tabs>
        <w:ind w:left="5775" w:hanging="360"/>
      </w:pPr>
    </w:lvl>
    <w:lvl w:ilvl="8" w:tplc="0C0A001B" w:tentative="1">
      <w:start w:val="1"/>
      <w:numFmt w:val="lowerRoman"/>
      <w:lvlText w:val="%9."/>
      <w:lvlJc w:val="right"/>
      <w:pPr>
        <w:tabs>
          <w:tab w:val="num" w:pos="6495"/>
        </w:tabs>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B3"/>
    <w:rsid w:val="000D10D4"/>
    <w:rsid w:val="008434D7"/>
    <w:rsid w:val="009719B3"/>
    <w:rsid w:val="00F938D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ind w:left="360"/>
      <w:outlineLvl w:val="0"/>
    </w:pPr>
    <w:rPr>
      <w:rFonts w:ascii="Arial" w:hAnsi="Arial" w:cs="Arial"/>
      <w:i/>
      <w:iCs/>
      <w:lang w:val="es-MX"/>
    </w:rPr>
  </w:style>
  <w:style w:type="paragraph" w:styleId="Ttulo2">
    <w:name w:val="heading 2"/>
    <w:basedOn w:val="Normal"/>
    <w:next w:val="Normal"/>
    <w:qFormat/>
    <w:pPr>
      <w:keepNext/>
      <w:outlineLvl w:val="1"/>
    </w:pPr>
    <w:rPr>
      <w:rFonts w:ascii="Arial" w:hAnsi="Arial"/>
      <w:b/>
      <w:bCs/>
      <w:szCs w:val="20"/>
      <w:lang w:val="es-MX"/>
    </w:rPr>
  </w:style>
  <w:style w:type="paragraph" w:styleId="Ttulo3">
    <w:name w:val="heading 3"/>
    <w:basedOn w:val="Normal"/>
    <w:next w:val="Normal"/>
    <w:qFormat/>
    <w:pPr>
      <w:keepNext/>
      <w:spacing w:line="360" w:lineRule="auto"/>
      <w:outlineLvl w:val="2"/>
    </w:pPr>
    <w:rPr>
      <w:rFonts w:ascii="Arial" w:hAnsi="Arial" w:cs="Arial"/>
      <w:i/>
      <w:iCs/>
    </w:rPr>
  </w:style>
  <w:style w:type="paragraph" w:styleId="Ttulo7">
    <w:name w:val="heading 7"/>
    <w:basedOn w:val="Normal"/>
    <w:next w:val="Normal"/>
    <w:qFormat/>
    <w:pPr>
      <w:keepNext/>
      <w:widowControl w:val="0"/>
      <w:suppressAutoHyphens/>
      <w:spacing w:line="360" w:lineRule="auto"/>
      <w:ind w:right="284"/>
      <w:jc w:val="both"/>
      <w:outlineLvl w:val="6"/>
    </w:pPr>
    <w:rPr>
      <w:rFonts w:ascii="Arial" w:hAnsi="Arial"/>
      <w:snapToGrid w:val="0"/>
      <w:spacing w:val="-3"/>
      <w:szCs w:val="20"/>
      <w:lang w:val="es-ES_tradnl"/>
    </w:rPr>
  </w:style>
  <w:style w:type="paragraph" w:styleId="Ttulo9">
    <w:name w:val="heading 9"/>
    <w:basedOn w:val="Normal"/>
    <w:next w:val="Normal"/>
    <w:qFormat/>
    <w:pPr>
      <w:keepNext/>
      <w:widowControl w:val="0"/>
      <w:suppressAutoHyphens/>
      <w:spacing w:line="360" w:lineRule="auto"/>
      <w:ind w:left="1440" w:right="284" w:firstLine="720"/>
      <w:jc w:val="both"/>
      <w:outlineLvl w:val="8"/>
    </w:pPr>
    <w:rPr>
      <w:rFonts w:ascii="Arial" w:hAnsi="Arial"/>
      <w:b/>
      <w:bCs/>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rPr>
      <w:rFonts w:ascii="Arial Black" w:hAnsi="Arial Black"/>
      <w:szCs w:val="20"/>
      <w:effect w:val="antsRed"/>
    </w:rPr>
  </w:style>
  <w:style w:type="character" w:styleId="Nmerodepgina">
    <w:name w:val="page number"/>
    <w:basedOn w:val="Fuentedeprrafopredeter"/>
    <w:semiHidden/>
  </w:style>
  <w:style w:type="paragraph" w:styleId="Encabezado">
    <w:name w:val="header"/>
    <w:basedOn w:val="Normal"/>
    <w:semiHidden/>
    <w:pPr>
      <w:tabs>
        <w:tab w:val="center" w:pos="4252"/>
        <w:tab w:val="right" w:pos="85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ind w:left="360"/>
      <w:outlineLvl w:val="0"/>
    </w:pPr>
    <w:rPr>
      <w:rFonts w:ascii="Arial" w:hAnsi="Arial" w:cs="Arial"/>
      <w:i/>
      <w:iCs/>
      <w:lang w:val="es-MX"/>
    </w:rPr>
  </w:style>
  <w:style w:type="paragraph" w:styleId="Ttulo2">
    <w:name w:val="heading 2"/>
    <w:basedOn w:val="Normal"/>
    <w:next w:val="Normal"/>
    <w:qFormat/>
    <w:pPr>
      <w:keepNext/>
      <w:outlineLvl w:val="1"/>
    </w:pPr>
    <w:rPr>
      <w:rFonts w:ascii="Arial" w:hAnsi="Arial"/>
      <w:b/>
      <w:bCs/>
      <w:szCs w:val="20"/>
      <w:lang w:val="es-MX"/>
    </w:rPr>
  </w:style>
  <w:style w:type="paragraph" w:styleId="Ttulo3">
    <w:name w:val="heading 3"/>
    <w:basedOn w:val="Normal"/>
    <w:next w:val="Normal"/>
    <w:qFormat/>
    <w:pPr>
      <w:keepNext/>
      <w:spacing w:line="360" w:lineRule="auto"/>
      <w:outlineLvl w:val="2"/>
    </w:pPr>
    <w:rPr>
      <w:rFonts w:ascii="Arial" w:hAnsi="Arial" w:cs="Arial"/>
      <w:i/>
      <w:iCs/>
    </w:rPr>
  </w:style>
  <w:style w:type="paragraph" w:styleId="Ttulo7">
    <w:name w:val="heading 7"/>
    <w:basedOn w:val="Normal"/>
    <w:next w:val="Normal"/>
    <w:qFormat/>
    <w:pPr>
      <w:keepNext/>
      <w:widowControl w:val="0"/>
      <w:suppressAutoHyphens/>
      <w:spacing w:line="360" w:lineRule="auto"/>
      <w:ind w:right="284"/>
      <w:jc w:val="both"/>
      <w:outlineLvl w:val="6"/>
    </w:pPr>
    <w:rPr>
      <w:rFonts w:ascii="Arial" w:hAnsi="Arial"/>
      <w:snapToGrid w:val="0"/>
      <w:spacing w:val="-3"/>
      <w:szCs w:val="20"/>
      <w:lang w:val="es-ES_tradnl"/>
    </w:rPr>
  </w:style>
  <w:style w:type="paragraph" w:styleId="Ttulo9">
    <w:name w:val="heading 9"/>
    <w:basedOn w:val="Normal"/>
    <w:next w:val="Normal"/>
    <w:qFormat/>
    <w:pPr>
      <w:keepNext/>
      <w:widowControl w:val="0"/>
      <w:suppressAutoHyphens/>
      <w:spacing w:line="360" w:lineRule="auto"/>
      <w:ind w:left="1440" w:right="284" w:firstLine="720"/>
      <w:jc w:val="both"/>
      <w:outlineLvl w:val="8"/>
    </w:pPr>
    <w:rPr>
      <w:rFonts w:ascii="Arial" w:hAnsi="Arial"/>
      <w:b/>
      <w:bCs/>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252"/>
        <w:tab w:val="right" w:pos="8504"/>
      </w:tabs>
    </w:pPr>
    <w:rPr>
      <w:rFonts w:ascii="Arial Black" w:hAnsi="Arial Black"/>
      <w:szCs w:val="20"/>
      <w:effect w:val="antsRed"/>
    </w:rPr>
  </w:style>
  <w:style w:type="character" w:styleId="Nmerodepgina">
    <w:name w:val="page number"/>
    <w:basedOn w:val="Fuentedeprrafopredeter"/>
    <w:semiHidden/>
  </w:style>
  <w:style w:type="paragraph" w:styleId="Encabezado">
    <w:name w:val="header"/>
    <w:basedOn w:val="Normal"/>
    <w:semiHidden/>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CARPETA  N°: 2013-17-1-0003909</vt:lpstr>
    </vt:vector>
  </TitlesOfParts>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2013-17-1-0003909</dc:title>
  <dc:subject/>
  <dc:creator>29706655</dc:creator>
  <cp:keywords/>
  <dc:description/>
  <cp:lastModifiedBy>Miriam Cristina Rivero</cp:lastModifiedBy>
  <cp:revision>2</cp:revision>
  <cp:lastPrinted>2013-12-19T11:49:00Z</cp:lastPrinted>
  <dcterms:created xsi:type="dcterms:W3CDTF">2013-12-19T11:50:00Z</dcterms:created>
  <dcterms:modified xsi:type="dcterms:W3CDTF">2013-12-19T11:50:00Z</dcterms:modified>
</cp:coreProperties>
</file>