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A4" w:rsidRDefault="009F7CA4">
      <w:pPr>
        <w:spacing w:after="0" w:line="360" w:lineRule="auto"/>
        <w:ind w:firstLine="709"/>
      </w:pPr>
      <w:r>
        <w:rPr>
          <w:b/>
          <w:bCs/>
          <w:spacing w:val="-20"/>
        </w:rPr>
        <w:t>VISTO</w:t>
      </w:r>
      <w:r>
        <w:rPr>
          <w:spacing w:val="-20"/>
        </w:rPr>
        <w:t xml:space="preserve">: </w:t>
      </w:r>
      <w:r>
        <w:rPr>
          <w:spacing w:val="6"/>
        </w:rPr>
        <w:t>que este Tribunal ha examinado los estados contables correspondientes al ejercicio finalizado el 31</w:t>
      </w:r>
      <w:r>
        <w:t>/12/2012 y sus correspondientes notas explicativas, formulados por el Instituto Nacional de Logística.</w:t>
      </w:r>
    </w:p>
    <w:p w:rsidR="009F7CA4" w:rsidRDefault="009F7CA4">
      <w:pPr>
        <w:spacing w:after="0" w:line="360" w:lineRule="auto"/>
        <w:ind w:firstLine="709"/>
      </w:pPr>
      <w:r>
        <w:rPr>
          <w:b/>
          <w:bCs/>
        </w:rPr>
        <w:t>RESULTANDO</w:t>
      </w:r>
      <w:r>
        <w:t xml:space="preserve">: que el examen practicado fue realizado de acuerdo con </w:t>
      </w:r>
      <w:r>
        <w:rPr>
          <w:spacing w:val="6"/>
        </w:rPr>
        <w:t xml:space="preserve"> los Principios Fundamentales de Auditoría (ISSAI 100, 200, 300 y 400) y las Directrices de Auditoría Financiera (ISSAI 1000 a 2999) de la Organización Internacional de Entidades Fiscalizadoras Superiores (INTOSAI</w:t>
      </w:r>
      <w:r>
        <w:t xml:space="preserve">); </w:t>
      </w:r>
    </w:p>
    <w:p w:rsidR="009F7CA4" w:rsidRDefault="009F7CA4">
      <w:pPr>
        <w:spacing w:after="0" w:line="360" w:lineRule="auto"/>
        <w:ind w:firstLine="709"/>
      </w:pPr>
      <w:r>
        <w:rPr>
          <w:b/>
          <w:bCs/>
        </w:rPr>
        <w:t>CONSIDERANDO</w:t>
      </w:r>
      <w:r>
        <w:t>: que las conclusiones y evidencias obtenidas son las que se expresan en el Informe de Auditoría que incluye Dictamen e Informe a la Administración;</w:t>
      </w:r>
    </w:p>
    <w:p w:rsidR="009F7CA4" w:rsidRDefault="009F7CA4">
      <w:pPr>
        <w:spacing w:after="0" w:line="360" w:lineRule="auto"/>
        <w:ind w:firstLine="743"/>
      </w:pPr>
      <w:r>
        <w:rPr>
          <w:b/>
          <w:bCs/>
        </w:rPr>
        <w:t>ATENTO</w:t>
      </w:r>
      <w:r>
        <w:t>: a lo establecido en los Artículos 159 y 177 del TOCAF y a la Ordenanza 81 de este Tribunal;</w:t>
      </w:r>
    </w:p>
    <w:p w:rsidR="009F7CA4" w:rsidRDefault="009F7CA4">
      <w:pPr>
        <w:pStyle w:val="Heading3"/>
        <w:overflowPunct/>
        <w:autoSpaceDE/>
        <w:spacing w:line="360" w:lineRule="auto"/>
        <w:ind w:left="1416" w:firstLine="708"/>
        <w:jc w:val="left"/>
        <w:textAlignment w:val="auto"/>
      </w:pPr>
      <w:r>
        <w:t xml:space="preserve">      EL TRIBUNAL ACUERDA</w:t>
      </w:r>
    </w:p>
    <w:p w:rsidR="009F7CA4" w:rsidRDefault="009F7CA4">
      <w:pPr>
        <w:numPr>
          <w:ilvl w:val="0"/>
          <w:numId w:val="1"/>
        </w:numPr>
        <w:suppressAutoHyphens/>
        <w:spacing w:after="0" w:line="360" w:lineRule="auto"/>
      </w:pPr>
      <w:r>
        <w:t>Expedirse en los términos del Informe de Auditoría que se adjunta;</w:t>
      </w:r>
    </w:p>
    <w:p w:rsidR="009F7CA4" w:rsidRDefault="009F7CA4">
      <w:pPr>
        <w:numPr>
          <w:ilvl w:val="0"/>
          <w:numId w:val="1"/>
        </w:numPr>
        <w:suppressAutoHyphens/>
        <w:spacing w:after="0" w:line="360" w:lineRule="auto"/>
      </w:pPr>
      <w:r>
        <w:t>Comunicar esta Resolución  al Instituto  Nacional de Logística; y</w:t>
      </w:r>
    </w:p>
    <w:p w:rsidR="009F7CA4" w:rsidRDefault="009F7CA4">
      <w:pPr>
        <w:numPr>
          <w:ilvl w:val="0"/>
          <w:numId w:val="1"/>
        </w:numPr>
        <w:suppressAutoHyphens/>
        <w:spacing w:after="0" w:line="360" w:lineRule="auto"/>
      </w:pPr>
      <w:r>
        <w:t>Dar cuenta a la Asamblea General.</w:t>
      </w:r>
    </w:p>
    <w:p w:rsidR="009F7CA4" w:rsidRDefault="009F7CA4">
      <w:pPr>
        <w:suppressAutoHyphens/>
        <w:spacing w:after="0" w:line="360" w:lineRule="auto"/>
      </w:pPr>
    </w:p>
    <w:p w:rsidR="009F7CA4" w:rsidRDefault="009F7CA4">
      <w:pPr>
        <w:suppressAutoHyphens/>
        <w:spacing w:after="0" w:line="360" w:lineRule="auto"/>
      </w:pPr>
    </w:p>
    <w:p w:rsidR="009F7CA4" w:rsidRDefault="009F7CA4">
      <w:pPr>
        <w:pStyle w:val="Header"/>
        <w:spacing w:line="360" w:lineRule="auto"/>
      </w:pPr>
      <w:r>
        <w:t>DICTAMEN</w:t>
      </w:r>
    </w:p>
    <w:p w:rsidR="009F7CA4" w:rsidRDefault="009F7CA4">
      <w:pPr>
        <w:pStyle w:val="Header"/>
        <w:spacing w:line="360" w:lineRule="auto"/>
        <w:jc w:val="both"/>
      </w:pPr>
    </w:p>
    <w:p w:rsidR="009F7CA4" w:rsidRDefault="009F7CA4">
      <w:pPr>
        <w:spacing w:line="360" w:lineRule="auto"/>
        <w:rPr>
          <w:lang w:val="es-MX"/>
        </w:rPr>
      </w:pPr>
      <w:r>
        <w:rPr>
          <w:lang w:val="es-MX"/>
        </w:rPr>
        <w:t xml:space="preserve">          El Tribunal de Cuentas ha examinado los estados financieros del Instituto Nacional de Logística (INALOG)</w:t>
      </w:r>
      <w:r>
        <w:t xml:space="preserve"> </w:t>
      </w:r>
      <w:r>
        <w:rPr>
          <w:lang w:val="es-MX"/>
        </w:rPr>
        <w:t>que se adjuntan. Dichos estados financieros comprenden el Estado de Situación Patrimonial al 31/12/2012 y los correspondientes Estados de Resultados, de Evolución del Patrimonio, de Flujo de Efectivo  por el ejercicio anual finalizado en esa fecha, los Anexos y notas.</w:t>
      </w:r>
    </w:p>
    <w:p w:rsidR="009F7CA4" w:rsidRDefault="009F7CA4">
      <w:pPr>
        <w:spacing w:line="360" w:lineRule="auto"/>
        <w:ind w:firstLine="708"/>
        <w:rPr>
          <w:lang w:val="es-MX"/>
        </w:rPr>
      </w:pPr>
      <w:r>
        <w:rPr>
          <w:lang w:val="es-MX"/>
        </w:rPr>
        <w:t>El Tribunal de Cuentas también ha examinado el cumplimiento por parte del Instiituto Nacional de Logística de las disposiciones legales vigentes relacionadas con los estados financieros objeto de examen.</w:t>
      </w:r>
    </w:p>
    <w:p w:rsidR="009F7CA4" w:rsidRDefault="009F7CA4">
      <w:pPr>
        <w:pStyle w:val="EHead"/>
        <w:keepNext w:val="0"/>
        <w:spacing w:after="0" w:line="360" w:lineRule="auto"/>
        <w:jc w:val="left"/>
        <w:rPr>
          <w:rFonts w:ascii="Arial" w:hAnsi="Arial" w:cs="Arial"/>
          <w:sz w:val="24"/>
          <w:szCs w:val="24"/>
        </w:rPr>
      </w:pPr>
      <w:r>
        <w:rPr>
          <w:rFonts w:ascii="Arial" w:hAnsi="Arial" w:cs="Arial"/>
          <w:sz w:val="24"/>
          <w:szCs w:val="24"/>
        </w:rPr>
        <w:t>Responsabilidad de la Dirección por los estados financieros.</w:t>
      </w:r>
    </w:p>
    <w:p w:rsidR="009F7CA4" w:rsidRDefault="009F7CA4">
      <w:pPr>
        <w:spacing w:line="360" w:lineRule="auto"/>
        <w:ind w:firstLine="708"/>
        <w:rPr>
          <w:lang w:val="es-MX"/>
        </w:rPr>
      </w:pPr>
      <w:r>
        <w:rPr>
          <w:lang w:val="es-MX"/>
        </w:rPr>
        <w:t>La Dirección del Instituto Nacional de Logística es responsable por la preparación y la razonable presentación de estos estados financieros de acuerdo con la Ordenanza 81 del Tribunal de Cuentas y normas legales vigentes.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F7CA4" w:rsidRDefault="009F7CA4">
      <w:pPr>
        <w:spacing w:line="360" w:lineRule="auto"/>
        <w:rPr>
          <w:b/>
          <w:bCs/>
        </w:rPr>
      </w:pPr>
      <w:r>
        <w:rPr>
          <w:b/>
          <w:bCs/>
        </w:rPr>
        <w:t>Responsabilidad del Auditor</w:t>
      </w:r>
    </w:p>
    <w:p w:rsidR="009F7CA4" w:rsidRDefault="009F7CA4">
      <w:pPr>
        <w:spacing w:line="360" w:lineRule="auto"/>
        <w:ind w:firstLine="708"/>
        <w:rPr>
          <w:lang w:val="es-MX"/>
        </w:rPr>
      </w:pPr>
      <w:r>
        <w:rPr>
          <w:lang w:val="es-MX"/>
        </w:rPr>
        <w:t>La responsabilidad del Tribunal de Cuentas es expresar una opinión sobre dichos estados financieros basada en la auditoría realizada</w:t>
      </w:r>
      <w:r>
        <w:rPr>
          <w:spacing w:val="6"/>
          <w:lang w:val="es-MX"/>
        </w:rPr>
        <w:t xml:space="preserve">. </w:t>
      </w:r>
      <w:r>
        <w:rPr>
          <w:spacing w:val="6"/>
        </w:rPr>
        <w:t xml:space="preserve">  Esta auditoría fue practicada de acuerdo con los Principios Fundamentales de Auditoría (ISSAI 100, 200, 300 y 400) y las Directrices de Auditoría Financiera (ISSAI 1000 a 2999) de la Organización Internacional de Entidades Fiscalizadoras Superiores (INTOSAI)</w:t>
      </w:r>
      <w:r>
        <w:rPr>
          <w:lang w:val="es-MX"/>
        </w:rPr>
        <w:t xml:space="preserve">.  Estas normas requieren que se cumpla con requisitos éticos, se planifique y se realice la auditoría para obtener seguridad razonable acerca de si los estados financieros están libres de errores significativos.  </w:t>
      </w:r>
    </w:p>
    <w:p w:rsidR="009F7CA4" w:rsidRDefault="009F7CA4">
      <w:pPr>
        <w:spacing w:line="360" w:lineRule="auto"/>
        <w:ind w:firstLine="708"/>
        <w:rPr>
          <w:lang w:val="es-MX"/>
        </w:rPr>
      </w:pPr>
      <w:r>
        <w:rPr>
          <w:lang w:val="es-MX"/>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9F7CA4" w:rsidRDefault="009F7CA4">
      <w:pPr>
        <w:spacing w:line="360" w:lineRule="auto"/>
        <w:ind w:firstLine="708"/>
        <w:rPr>
          <w:lang w:val="es-MX"/>
        </w:rPr>
      </w:pPr>
      <w:r>
        <w:rPr>
          <w:lang w:val="es-MX"/>
        </w:rPr>
        <w:t xml:space="preserve">Consideramos que la evidencia de auditoría que hemos obtenido es suficiente y adecuada para proporcionar una base para nuestra opinión. </w:t>
      </w:r>
    </w:p>
    <w:p w:rsidR="009F7CA4" w:rsidRDefault="009F7CA4">
      <w:pPr>
        <w:spacing w:line="360" w:lineRule="auto"/>
        <w:rPr>
          <w:b/>
          <w:bCs/>
          <w:lang w:val="es-MX"/>
        </w:rPr>
      </w:pPr>
      <w:r>
        <w:rPr>
          <w:b/>
          <w:bCs/>
          <w:lang w:val="es-MX"/>
        </w:rPr>
        <w:t>Opinión</w:t>
      </w:r>
    </w:p>
    <w:p w:rsidR="009F7CA4" w:rsidRDefault="009F7CA4">
      <w:pPr>
        <w:pStyle w:val="Heading4"/>
        <w:spacing w:before="0" w:after="0" w:line="360" w:lineRule="auto"/>
        <w:rPr>
          <w:b w:val="0"/>
          <w:bCs w:val="0"/>
          <w:lang w:val="es-MX"/>
        </w:rPr>
      </w:pPr>
      <w:r>
        <w:rPr>
          <w:b w:val="0"/>
          <w:bCs w:val="0"/>
          <w:lang w:val="es-MX"/>
        </w:rPr>
        <w:t>En opinión del Tribunal de Cuentas, los estados financieros referidos precedentemente presentan razonablemente, en todos sus aspectos importantes, la situación patrimonial del Instituto Nacional de Logística</w:t>
      </w:r>
      <w:r>
        <w:rPr>
          <w:b w:val="0"/>
          <w:bCs w:val="0"/>
        </w:rPr>
        <w:t xml:space="preserve"> </w:t>
      </w:r>
      <w:r>
        <w:rPr>
          <w:b w:val="0"/>
          <w:bCs w:val="0"/>
          <w:lang w:val="es-MX"/>
        </w:rPr>
        <w:t>al 31 de diciembre de 2012, los resultados de sus operaciones, y los flujos de efectivo correspondientes al ejercicio anual terminado en esa fecha de acuerdo con los criterios establecidos</w:t>
      </w:r>
      <w:r>
        <w:rPr>
          <w:lang w:val="es-MX"/>
        </w:rPr>
        <w:t xml:space="preserve"> </w:t>
      </w:r>
      <w:r>
        <w:rPr>
          <w:b w:val="0"/>
          <w:bCs w:val="0"/>
          <w:lang w:val="es-MX"/>
        </w:rPr>
        <w:t>en la Ordenanza Nº 81 y normas legales vigentes.</w:t>
      </w:r>
    </w:p>
    <w:p w:rsidR="009F7CA4" w:rsidRDefault="009F7CA4">
      <w:pPr>
        <w:spacing w:line="360" w:lineRule="auto"/>
        <w:rPr>
          <w:lang w:val="es-MX"/>
        </w:rPr>
      </w:pPr>
    </w:p>
    <w:p w:rsidR="009F7CA4" w:rsidRDefault="009F7CA4">
      <w:pPr>
        <w:pStyle w:val="BodyTextIndent"/>
      </w:pPr>
      <w:r>
        <w:rPr>
          <w:rFonts w:ascii="Times New Roman" w:hAnsi="Times New Roman" w:cs="Times New Roman"/>
        </w:rPr>
        <w:t>Con</w:t>
      </w:r>
      <w:r>
        <w:t xml:space="preserve"> relación a las disposiciones legales y reglamentarias vigentes relacionadas con los estados financieros que fueron objeto de examen en el transcurso de la auditoría, se constataron los siguientes incumplimientos: </w:t>
      </w:r>
    </w:p>
    <w:p w:rsidR="009F7CA4" w:rsidRDefault="009F7CA4">
      <w:pPr>
        <w:numPr>
          <w:ilvl w:val="0"/>
          <w:numId w:val="2"/>
        </w:numPr>
        <w:suppressAutoHyphens/>
        <w:spacing w:after="0" w:line="360" w:lineRule="auto"/>
        <w:rPr>
          <w:lang w:val="es-MX"/>
        </w:rPr>
      </w:pPr>
      <w:r>
        <w:t>Los estados financieros fueron remitidos fuera del plazo establecido por el Literal B) del Artículo 159 del T.O.C.A.F.</w:t>
      </w:r>
      <w:r>
        <w:rPr>
          <w:lang w:val="es-MX"/>
        </w:rPr>
        <w:t xml:space="preserve"> </w:t>
      </w:r>
    </w:p>
    <w:p w:rsidR="009F7CA4" w:rsidRDefault="009F7CA4">
      <w:pPr>
        <w:numPr>
          <w:ilvl w:val="0"/>
          <w:numId w:val="2"/>
        </w:numPr>
        <w:suppressAutoHyphens/>
        <w:spacing w:after="0" w:line="360" w:lineRule="auto"/>
        <w:rPr>
          <w:lang w:val="es-MX"/>
        </w:rPr>
      </w:pPr>
      <w:r>
        <w:rPr>
          <w:lang w:val="es-MX"/>
        </w:rPr>
        <w:t>No se remitió  al Tribunal de Cuentas el Presupuesto correspondiente  al ejercicio 2012 ni el Balance de Ejecución Presupuestal correspondiente al mencionado ejercicio, de acuerdo a lo establecido en el Literal C) del Artículo</w:t>
      </w:r>
      <w:bookmarkStart w:id="0" w:name="_GoBack"/>
      <w:bookmarkEnd w:id="0"/>
      <w:r>
        <w:rPr>
          <w:lang w:val="es-MX"/>
        </w:rPr>
        <w:t xml:space="preserve"> 159 del TOCAF, en función de los fondos públicos percibidos en el ejercicio.</w:t>
      </w:r>
    </w:p>
    <w:p w:rsidR="009F7CA4" w:rsidRDefault="009F7CA4">
      <w:pPr>
        <w:spacing w:line="360" w:lineRule="auto"/>
        <w:ind w:left="4248"/>
      </w:pPr>
      <w:r>
        <w:t>Montevideo, 18 de noviembre de 2013</w:t>
      </w:r>
    </w:p>
    <w:p w:rsidR="009F7CA4" w:rsidRDefault="009F7CA4">
      <w:pPr>
        <w:suppressAutoHyphens/>
        <w:spacing w:after="0" w:line="360" w:lineRule="auto"/>
      </w:pPr>
    </w:p>
    <w:p w:rsidR="009F7CA4" w:rsidRDefault="009F7CA4">
      <w:pPr>
        <w:pageBreakBefore/>
        <w:spacing w:line="360" w:lineRule="auto"/>
        <w:jc w:val="center"/>
        <w:rPr>
          <w:b/>
          <w:bCs/>
        </w:rPr>
      </w:pPr>
      <w:r>
        <w:rPr>
          <w:b/>
          <w:bCs/>
        </w:rPr>
        <w:t>INFORME A LA ADMINISTRACIÓN</w:t>
      </w:r>
    </w:p>
    <w:p w:rsidR="009F7CA4" w:rsidRDefault="009F7CA4">
      <w:pPr>
        <w:spacing w:after="0" w:line="360" w:lineRule="auto"/>
        <w:rPr>
          <w:rFonts w:ascii="Times New Roman" w:hAnsi="Times New Roman" w:cs="Times New Roman"/>
        </w:rPr>
      </w:pPr>
      <w:r>
        <w:t xml:space="preserve">           El Tribunal de Cuentas ha examinado los estados financieros del  Instituto Nacional de Logística correspondientes al ejercicio económico finalizado el 31 de diciembre de 2012 y ha emitido su Dictamen</w:t>
      </w:r>
      <w:r>
        <w:rPr>
          <w:rFonts w:ascii="Times New Roman" w:hAnsi="Times New Roman" w:cs="Times New Roman"/>
        </w:rPr>
        <w:t>.</w:t>
      </w:r>
    </w:p>
    <w:p w:rsidR="009F7CA4" w:rsidRDefault="009F7CA4">
      <w:pPr>
        <w:spacing w:after="0" w:line="360" w:lineRule="auto"/>
        <w:ind w:firstLine="720"/>
        <w:rPr>
          <w:rFonts w:ascii="Times New Roman" w:hAnsi="Times New Roman" w:cs="Times New Roman"/>
        </w:rPr>
      </w:pPr>
      <w:r>
        <w:t>En este capítulo del Informe se incluyen los comentarios referentes a la presentación de estados financieros así como también aspectos específicos relativos a la evaluación del sistema de control interno implementado para la administración y ejecución del mismo</w:t>
      </w:r>
      <w:r>
        <w:rPr>
          <w:rFonts w:ascii="Times New Roman" w:hAnsi="Times New Roman" w:cs="Times New Roman"/>
        </w:rPr>
        <w:t>.</w:t>
      </w:r>
    </w:p>
    <w:p w:rsidR="009F7CA4" w:rsidRDefault="009F7CA4">
      <w:pPr>
        <w:spacing w:after="0" w:line="360" w:lineRule="auto"/>
        <w:rPr>
          <w:b/>
          <w:bCs/>
          <w:lang w:val="es-MX"/>
        </w:rPr>
      </w:pPr>
      <w:r>
        <w:rPr>
          <w:lang w:val="es-MX"/>
        </w:rPr>
        <w:t xml:space="preserve"> </w:t>
      </w:r>
      <w:r>
        <w:rPr>
          <w:b/>
          <w:bCs/>
          <w:lang w:val="es-MX"/>
        </w:rPr>
        <w:t>2.1 Presentación de Estados Financieros</w:t>
      </w:r>
    </w:p>
    <w:p w:rsidR="009F7CA4" w:rsidRDefault="009F7CA4">
      <w:pPr>
        <w:spacing w:after="0" w:line="360" w:lineRule="auto"/>
        <w:ind w:firstLine="709"/>
        <w:rPr>
          <w:lang w:val="es-MX"/>
        </w:rPr>
      </w:pPr>
      <w:r>
        <w:rPr>
          <w:lang w:val="es-MX"/>
        </w:rPr>
        <w:t xml:space="preserve">Los estados financieros del Instituto Nacional de Logística  correspondientes al ejercicio finalizado el 31 de diciembre de 2012 fueron aprobados por Resolución del Consejo de Dirección de fecha 10 de abril de 2013 y  remitidos al Tribunal de Cuentas con fecha 9 de octubre de 2013. </w:t>
      </w:r>
    </w:p>
    <w:p w:rsidR="009F7CA4" w:rsidRDefault="009F7CA4">
      <w:pPr>
        <w:spacing w:after="0" w:line="360" w:lineRule="auto"/>
        <w:rPr>
          <w:lang w:val="es-MX"/>
        </w:rPr>
      </w:pPr>
      <w:r>
        <w:rPr>
          <w:lang w:val="es-MX"/>
        </w:rPr>
        <w:tab/>
        <w:t>El Instituto Nacional de Logística remitió al Tribunal de Cuentas los estados exigidos en el numeral 13 de la Ordenanza 81,</w:t>
      </w:r>
      <w:r>
        <w:t xml:space="preserve"> acompañados de sus respectivas Notas, y dictamen de auditoria externa, dando cumplimiento en estos aspectos a lo establecido en los artículos 159 y 177 del TOCAF. No obstante, los mismos fueron remitidos fuera del plazo establecido por el literal b) del Artículo 159 del T.O.C.A.F.</w:t>
      </w:r>
      <w:r>
        <w:rPr>
          <w:lang w:val="es-MX"/>
        </w:rPr>
        <w:t xml:space="preserve"> Por otra parte, no se remitió  al Tribunal de Cuentas el Presupuesto correspondiente  al ejercicio 2012 ni el Balance de Ejecución Presupuestal correspondiente al mencionado ejercicio, lo que hubiese correspondido de acuerdo a lo estabecido en el Literal c) del Art. 159 del TOCAF, en función del monto de los fondos públicos percibidos en el ejercicio.</w:t>
      </w:r>
    </w:p>
    <w:p w:rsidR="009F7CA4" w:rsidRDefault="009F7CA4">
      <w:pPr>
        <w:numPr>
          <w:ilvl w:val="1"/>
          <w:numId w:val="3"/>
        </w:numPr>
        <w:suppressAutoHyphens/>
        <w:spacing w:after="0" w:line="360" w:lineRule="auto"/>
        <w:rPr>
          <w:b/>
          <w:bCs/>
          <w:lang w:val="es-MX"/>
        </w:rPr>
      </w:pPr>
      <w:r>
        <w:rPr>
          <w:b/>
          <w:bCs/>
          <w:lang w:val="es-MX"/>
        </w:rPr>
        <w:t>Hallazgos de Auditoría</w:t>
      </w:r>
    </w:p>
    <w:p w:rsidR="009F7CA4" w:rsidRDefault="009F7CA4">
      <w:pPr>
        <w:spacing w:after="0" w:line="360" w:lineRule="auto"/>
        <w:ind w:firstLine="708"/>
        <w:rPr>
          <w:lang w:val="es-ES_tradnl"/>
        </w:rPr>
      </w:pPr>
      <w:r>
        <w:rPr>
          <w:lang w:val="es-ES_tradnl"/>
        </w:rPr>
        <w:t>Se ha podido verificar, que se optó por el criterio de amortizar las mejoras en el Inmueble en que funciona INALOG, que es un inmueble arrendado, en un período de 10 años (Nota a los Estados Contables 3-4 Bienes de Uso). Este criterio implica amortizar dichas mejoras en un período que excede ampliamente el plazo establecido en el contrato de arrendamiento del Inmueble en que funciona el Instituto.</w:t>
      </w:r>
    </w:p>
    <w:p w:rsidR="009F7CA4" w:rsidRDefault="009F7CA4">
      <w:pPr>
        <w:spacing w:after="0" w:line="360" w:lineRule="auto"/>
        <w:rPr>
          <w:b/>
          <w:bCs/>
          <w:lang w:val="es-MX"/>
        </w:rPr>
      </w:pPr>
      <w:r>
        <w:rPr>
          <w:b/>
          <w:bCs/>
          <w:lang w:val="es-MX"/>
        </w:rPr>
        <w:t>2.3</w:t>
      </w:r>
      <w:r>
        <w:rPr>
          <w:b/>
          <w:bCs/>
          <w:lang w:val="es-MX"/>
        </w:rPr>
        <w:tab/>
        <w:t xml:space="preserve">Evaluación del Sistema de Control Interno </w:t>
      </w:r>
    </w:p>
    <w:p w:rsidR="009F7CA4" w:rsidRDefault="009F7CA4">
      <w:pPr>
        <w:spacing w:after="0" w:line="360" w:lineRule="auto"/>
        <w:ind w:firstLine="708"/>
        <w:rPr>
          <w:lang w:val="es-MX"/>
        </w:rPr>
      </w:pPr>
      <w:r>
        <w:rPr>
          <w:lang w:val="es-MX"/>
        </w:rPr>
        <w:t>Se ha evaluado el Sistema de Control Interno diseñado e implementado por el Instituto Nacional de Logística  a efectos de verificar cuál es el ambiente, las actividades y procedimientos de control, los canales de información y comunicación y el monitoreo del mismo llevado a cabo por el Directorio. El propósito de dicha evaluación fue determinar la confiabilidad de la información contable y el cumplimiento de las disposiciones legales, a efectos de determinar los procedimientos de auditoría a aplicar.</w:t>
      </w:r>
    </w:p>
    <w:p w:rsidR="009F7CA4" w:rsidRDefault="009F7CA4">
      <w:pPr>
        <w:spacing w:after="0" w:line="360" w:lineRule="auto"/>
        <w:ind w:firstLine="708"/>
        <w:rPr>
          <w:lang w:val="es-MX"/>
        </w:rPr>
      </w:pPr>
      <w:r>
        <w:rPr>
          <w:lang w:val="es-MX"/>
        </w:rPr>
        <w:t>Del examen practicado se concluye que el Sistema de Control Interno diseñado e implementado por la Institución es adecuado.</w:t>
      </w:r>
    </w:p>
    <w:p w:rsidR="009F7CA4" w:rsidRDefault="009F7CA4">
      <w:pPr>
        <w:numPr>
          <w:ilvl w:val="1"/>
          <w:numId w:val="4"/>
        </w:numPr>
        <w:suppressAutoHyphens/>
        <w:spacing w:after="0" w:line="360" w:lineRule="auto"/>
        <w:ind w:left="0" w:firstLine="708"/>
        <w:rPr>
          <w:b/>
          <w:bCs/>
          <w:lang w:val="es-MX"/>
        </w:rPr>
      </w:pPr>
      <w:r>
        <w:rPr>
          <w:b/>
          <w:bCs/>
          <w:lang w:val="es-MX"/>
        </w:rPr>
        <w:t>Recomendaciones</w:t>
      </w:r>
    </w:p>
    <w:p w:rsidR="009F7CA4" w:rsidRDefault="009F7CA4">
      <w:pPr>
        <w:spacing w:after="0" w:line="360" w:lineRule="auto"/>
        <w:ind w:firstLine="708"/>
        <w:rPr>
          <w:b/>
          <w:bCs/>
          <w:lang w:val="es-MX"/>
        </w:rPr>
      </w:pPr>
      <w:r>
        <w:rPr>
          <w:b/>
          <w:bCs/>
          <w:lang w:val="es-MX"/>
        </w:rPr>
        <w:t>Recomendaciones del ejercicio:</w:t>
      </w:r>
    </w:p>
    <w:p w:rsidR="009F7CA4" w:rsidRDefault="009F7CA4">
      <w:pPr>
        <w:numPr>
          <w:ilvl w:val="3"/>
          <w:numId w:val="6"/>
        </w:numPr>
        <w:suppressAutoHyphens/>
        <w:spacing w:after="0" w:line="360" w:lineRule="auto"/>
        <w:ind w:left="1230" w:firstLine="0"/>
        <w:rPr>
          <w:lang w:val="es-MX"/>
        </w:rPr>
      </w:pPr>
      <w:r>
        <w:rPr>
          <w:lang w:val="es-MX"/>
        </w:rPr>
        <w:t>Presentar los estados contables al Tribunal de Cuentas dentro del plazo establecido en el artículo 159 del TOCAF.</w:t>
      </w:r>
    </w:p>
    <w:p w:rsidR="009F7CA4" w:rsidRDefault="009F7CA4">
      <w:pPr>
        <w:numPr>
          <w:ilvl w:val="3"/>
          <w:numId w:val="6"/>
        </w:numPr>
        <w:suppressAutoHyphens/>
        <w:spacing w:after="0" w:line="360" w:lineRule="auto"/>
        <w:ind w:left="1230" w:firstLine="0"/>
        <w:rPr>
          <w:lang w:val="es-MX"/>
        </w:rPr>
      </w:pPr>
      <w:r>
        <w:rPr>
          <w:lang w:val="es-MX"/>
        </w:rPr>
        <w:t xml:space="preserve">Remitir al Tribunal de Cuentas el Presupuesto y el Balance de Ejecución Presupuestal, cuando el monto de los fondos públicos a percibir en el ejercicio así lo determinen de acuerdo a lo estipulado en el Literal C) del Artículo 159 del TOCAF.  </w:t>
      </w:r>
    </w:p>
    <w:p w:rsidR="009F7CA4" w:rsidRDefault="009F7CA4">
      <w:pPr>
        <w:numPr>
          <w:ilvl w:val="0"/>
          <w:numId w:val="5"/>
        </w:numPr>
        <w:suppressAutoHyphens/>
        <w:spacing w:after="0" w:line="360" w:lineRule="auto"/>
        <w:ind w:left="1230" w:firstLine="0"/>
        <w:rPr>
          <w:lang w:val="es-MX"/>
        </w:rPr>
      </w:pPr>
      <w:r>
        <w:rPr>
          <w:lang w:val="es-MX"/>
        </w:rPr>
        <w:t xml:space="preserve">   Reconsiderar el criterio de amortización de las mejoras realizadas en el Inmueble en que funciona el Instituto.</w:t>
      </w:r>
    </w:p>
    <w:p w:rsidR="009F7CA4" w:rsidRDefault="009F7CA4">
      <w:pPr>
        <w:pStyle w:val="BodyText"/>
        <w:spacing w:line="360" w:lineRule="auto"/>
        <w:jc w:val="right"/>
      </w:pPr>
      <w:r>
        <w:t>Montevideo, 18 de noviembre  de 2013</w:t>
      </w:r>
    </w:p>
    <w:p w:rsidR="009F7CA4" w:rsidRDefault="009F7CA4">
      <w:pPr>
        <w:pStyle w:val="BodyText"/>
        <w:spacing w:line="360" w:lineRule="auto"/>
        <w:jc w:val="left"/>
      </w:pPr>
    </w:p>
    <w:p w:rsidR="009F7CA4" w:rsidRDefault="009F7CA4">
      <w:pPr>
        <w:suppressAutoHyphens/>
        <w:spacing w:after="0" w:line="360" w:lineRule="auto"/>
      </w:pPr>
    </w:p>
    <w:sectPr w:rsidR="009F7CA4" w:rsidSect="009F7CA4">
      <w:pgSz w:w="11906" w:h="16838" w:code="9"/>
      <w:pgMar w:top="3402" w:right="1701" w:bottom="1418" w:left="1701" w:header="709" w:footer="709" w:gutter="0"/>
      <w:paperSrc w:first="4" w:other="4"/>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40" w:hanging="340"/>
      </w:pPr>
      <w:rPr>
        <w:rFonts w:ascii="Arial" w:hAnsi="Arial" w:cs="Arial"/>
        <w:b/>
        <w:bCs/>
        <w:sz w:val="24"/>
        <w:szCs w:val="24"/>
      </w:r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rPr>
        <w:rFonts w:ascii="Times New Roman" w:hAnsi="Times New Roman" w:cs="Times New Roman"/>
      </w:rPr>
    </w:lvl>
    <w:lvl w:ilvl="1">
      <w:start w:val="2"/>
      <w:numFmt w:val="decimal"/>
      <w:lvlText w:val="%1.%2"/>
      <w:lvlJc w:val="left"/>
      <w:pPr>
        <w:tabs>
          <w:tab w:val="num" w:pos="1080"/>
        </w:tabs>
        <w:ind w:left="1080" w:hanging="360"/>
      </w:pPr>
      <w:rPr>
        <w:rFonts w:ascii="Times New Roman" w:hAnsi="Times New Roman" w:cs="Times New Roman"/>
      </w:rPr>
    </w:lvl>
    <w:lvl w:ilvl="2">
      <w:start w:val="1"/>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rPr>
        <w:rFonts w:ascii="Times New Roman" w:hAnsi="Times New Roman" w:cs="Times New Roman"/>
      </w:rPr>
    </w:lvl>
    <w:lvl w:ilvl="1">
      <w:start w:val="4"/>
      <w:numFmt w:val="decimal"/>
      <w:lvlText w:val="%1.%2"/>
      <w:lvlJc w:val="left"/>
      <w:pPr>
        <w:tabs>
          <w:tab w:val="num" w:pos="1080"/>
        </w:tabs>
        <w:ind w:left="1080" w:hanging="360"/>
      </w:pPr>
      <w:rPr>
        <w:rFonts w:ascii="Times New Roman" w:hAnsi="Times New Roman" w:cs="Times New Roman"/>
      </w:rPr>
    </w:lvl>
    <w:lvl w:ilvl="2">
      <w:start w:val="1"/>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b/>
        <w:bCs/>
        <w:sz w:val="24"/>
        <w:szCs w:val="24"/>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CA4"/>
    <w:rsid w:val="009F7CA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Arial" w:hAnsi="Arial" w:cs="Arial"/>
      <w:sz w:val="24"/>
      <w:szCs w:val="24"/>
      <w:lang w:val="es-UY" w:eastAsia="en-US"/>
    </w:rPr>
  </w:style>
  <w:style w:type="paragraph" w:styleId="Heading3">
    <w:name w:val="heading 3"/>
    <w:basedOn w:val="Normal"/>
    <w:next w:val="Normal"/>
    <w:link w:val="Heading3Char"/>
    <w:uiPriority w:val="99"/>
    <w:qFormat/>
    <w:pPr>
      <w:keepNext/>
      <w:suppressAutoHyphens/>
      <w:overflowPunct w:val="0"/>
      <w:autoSpaceDE w:val="0"/>
      <w:spacing w:after="0" w:line="240" w:lineRule="auto"/>
      <w:jc w:val="center"/>
      <w:textAlignment w:val="baseline"/>
      <w:outlineLvl w:val="2"/>
    </w:pPr>
    <w:rPr>
      <w:b/>
      <w:bCs/>
      <w:lang w:val="es-ES" w:eastAsia="zh-CN"/>
    </w:rPr>
  </w:style>
  <w:style w:type="paragraph" w:styleId="Heading4">
    <w:name w:val="heading 4"/>
    <w:basedOn w:val="Normal"/>
    <w:next w:val="Normal"/>
    <w:link w:val="Heading4Char"/>
    <w:uiPriority w:val="99"/>
    <w:qFormat/>
    <w:pPr>
      <w:keepNext/>
      <w:suppressAutoHyphens/>
      <w:spacing w:before="120" w:after="100" w:line="240" w:lineRule="auto"/>
      <w:ind w:firstLine="708"/>
      <w:outlineLvl w:val="3"/>
    </w:pPr>
    <w:rPr>
      <w:b/>
      <w:bCs/>
      <w:lang w:val="es-ES" w:eastAsia="zh-C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rFonts w:ascii="Arial" w:eastAsia="Times New Roman" w:hAnsi="Arial" w:cs="Arial"/>
      <w:b/>
      <w:bCs/>
      <w:sz w:val="24"/>
      <w:szCs w:val="24"/>
      <w:lang w:val="es-ES" w:eastAsia="zh-CN"/>
    </w:rPr>
  </w:style>
  <w:style w:type="character" w:customStyle="1" w:styleId="Heading4Char">
    <w:name w:val="Heading 4 Char"/>
    <w:basedOn w:val="DefaultParagraphFont"/>
    <w:link w:val="Heading4"/>
    <w:uiPriority w:val="9"/>
    <w:semiHidden/>
    <w:rsid w:val="009F7CA4"/>
    <w:rPr>
      <w:b/>
      <w:bCs/>
      <w:sz w:val="28"/>
      <w:szCs w:val="28"/>
      <w:lang w:val="es-UY" w:eastAsia="en-US"/>
    </w:rPr>
  </w:style>
  <w:style w:type="paragraph" w:styleId="Header">
    <w:name w:val="header"/>
    <w:basedOn w:val="Normal"/>
    <w:next w:val="BodyText"/>
    <w:link w:val="HeaderChar"/>
    <w:uiPriority w:val="99"/>
    <w:pPr>
      <w:suppressAutoHyphens/>
      <w:spacing w:after="0" w:line="240" w:lineRule="auto"/>
      <w:jc w:val="center"/>
    </w:pPr>
    <w:rPr>
      <w:b/>
      <w:bCs/>
      <w:lang w:val="es-MX" w:eastAsia="zh-CN"/>
    </w:rPr>
  </w:style>
  <w:style w:type="character" w:customStyle="1" w:styleId="HeaderChar">
    <w:name w:val="Header Char"/>
    <w:basedOn w:val="DefaultParagraphFont"/>
    <w:link w:val="Header"/>
    <w:uiPriority w:val="99"/>
    <w:semiHidden/>
    <w:rsid w:val="009F7CA4"/>
    <w:rPr>
      <w:rFonts w:ascii="Arial" w:hAnsi="Arial" w:cs="Arial"/>
      <w:sz w:val="24"/>
      <w:szCs w:val="24"/>
      <w:lang w:val="es-UY" w:eastAsia="en-US"/>
    </w:rPr>
  </w:style>
  <w:style w:type="paragraph" w:styleId="BodyTextIndent">
    <w:name w:val="Body Text Indent"/>
    <w:basedOn w:val="Normal"/>
    <w:link w:val="BodyTextIndentChar"/>
    <w:uiPriority w:val="99"/>
    <w:pPr>
      <w:suppressAutoHyphens/>
      <w:spacing w:after="0" w:line="360" w:lineRule="auto"/>
      <w:ind w:firstLine="708"/>
    </w:pPr>
    <w:rPr>
      <w:lang w:val="es-ES" w:eastAsia="zh-CN"/>
    </w:rPr>
  </w:style>
  <w:style w:type="character" w:customStyle="1" w:styleId="BodyTextIndentChar">
    <w:name w:val="Body Text Indent Char"/>
    <w:basedOn w:val="DefaultParagraphFont"/>
    <w:link w:val="BodyTextIndent"/>
    <w:uiPriority w:val="99"/>
    <w:semiHidden/>
    <w:rsid w:val="009F7CA4"/>
    <w:rPr>
      <w:rFonts w:ascii="Arial" w:hAnsi="Arial" w:cs="Arial"/>
      <w:sz w:val="24"/>
      <w:szCs w:val="24"/>
      <w:lang w:val="es-UY" w:eastAsia="en-US"/>
    </w:rPr>
  </w:style>
  <w:style w:type="paragraph" w:customStyle="1" w:styleId="EHead">
    <w:name w:val="E Head"/>
    <w:basedOn w:val="Normal"/>
    <w:next w:val="Normal"/>
    <w:uiPriority w:val="99"/>
    <w:pPr>
      <w:keepNext/>
      <w:suppressAutoHyphens/>
      <w:spacing w:after="60" w:line="240" w:lineRule="auto"/>
    </w:pPr>
    <w:rPr>
      <w:rFonts w:ascii="Helvetica" w:hAnsi="Helvetica" w:cs="Helvetica"/>
      <w:b/>
      <w:bCs/>
      <w:sz w:val="22"/>
      <w:szCs w:val="22"/>
      <w:lang w:val="es-ES" w:eastAsia="zh-C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9F7CA4"/>
    <w:rPr>
      <w:rFonts w:ascii="Arial" w:hAnsi="Arial" w:cs="Arial"/>
      <w:sz w:val="24"/>
      <w:szCs w:val="24"/>
      <w:lang w:val="es-UY"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1202</Words>
  <Characters>6854</Characters>
  <Application>Microsoft Office Outlook</Application>
  <DocSecurity>0</DocSecurity>
  <Lines>0</Lines>
  <Paragraphs>0</Paragraphs>
  <ScaleCrop>false</ScaleCrop>
  <Company>Tribunal de Cuentas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y sus corre</dc:title>
  <dc:subject/>
  <dc:creator>Miriam Cristina Rivero</dc:creator>
  <cp:keywords/>
  <dc:description/>
  <cp:lastModifiedBy>Tribunal1</cp:lastModifiedBy>
  <cp:revision>2</cp:revision>
  <cp:lastPrinted>2013-12-12T10:03:00Z</cp:lastPrinted>
  <dcterms:created xsi:type="dcterms:W3CDTF">2013-12-26T12:28:00Z</dcterms:created>
  <dcterms:modified xsi:type="dcterms:W3CDTF">2013-12-26T12:28:00Z</dcterms:modified>
</cp:coreProperties>
</file>