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6B3" w:rsidRDefault="004F46B3">
      <w:pPr>
        <w:tabs>
          <w:tab w:val="center" w:pos="4253"/>
        </w:tabs>
        <w:suppressAutoHyphens/>
        <w:jc w:val="center"/>
        <w:rPr>
          <w:b/>
          <w:bCs/>
          <w:lang w:val="es-ES_tradnl"/>
        </w:rPr>
      </w:pPr>
    </w:p>
    <w:p w:rsidR="004F46B3" w:rsidRDefault="004F46B3">
      <w:pPr>
        <w:pStyle w:val="Heading2"/>
      </w:pPr>
      <w:r>
        <w:t>RESOLUCION ADOPTADA POR EL</w:t>
      </w:r>
    </w:p>
    <w:p w:rsidR="004F46B3" w:rsidRDefault="004F46B3">
      <w:pPr>
        <w:tabs>
          <w:tab w:val="left" w:pos="-720"/>
        </w:tabs>
        <w:suppressAutoHyphens/>
        <w:jc w:val="center"/>
        <w:rPr>
          <w:b/>
          <w:bCs/>
          <w:lang w:val="es-ES_tradnl"/>
        </w:rPr>
      </w:pPr>
    </w:p>
    <w:p w:rsidR="004F46B3" w:rsidRDefault="004F46B3">
      <w:pPr>
        <w:tabs>
          <w:tab w:val="center" w:pos="4253"/>
        </w:tabs>
        <w:suppressAutoHyphens/>
        <w:jc w:val="center"/>
        <w:rPr>
          <w:b/>
          <w:bCs/>
          <w:lang w:val="es-ES_tradnl"/>
        </w:rPr>
      </w:pPr>
      <w:r>
        <w:rPr>
          <w:b/>
          <w:bCs/>
          <w:lang w:val="es-ES_tradnl"/>
        </w:rPr>
        <w:t>TRIBUNAL DE CUENTAS</w:t>
      </w:r>
    </w:p>
    <w:p w:rsidR="004F46B3" w:rsidRDefault="004F46B3">
      <w:pPr>
        <w:tabs>
          <w:tab w:val="left" w:pos="-720"/>
        </w:tabs>
        <w:suppressAutoHyphens/>
        <w:jc w:val="center"/>
        <w:rPr>
          <w:b/>
          <w:bCs/>
          <w:lang w:val="es-ES_tradnl"/>
        </w:rPr>
      </w:pPr>
    </w:p>
    <w:p w:rsidR="004F46B3" w:rsidRDefault="004F46B3">
      <w:pPr>
        <w:tabs>
          <w:tab w:val="center" w:pos="4253"/>
        </w:tabs>
        <w:suppressAutoHyphens/>
        <w:jc w:val="center"/>
        <w:rPr>
          <w:b/>
          <w:bCs/>
          <w:lang w:val="es-ES_tradnl"/>
        </w:rPr>
      </w:pPr>
      <w:r>
        <w:rPr>
          <w:b/>
          <w:bCs/>
          <w:lang w:val="es-ES_tradnl"/>
        </w:rPr>
        <w:t>EN SESION DE FECHA 4 DE DICIEMBRE DE 2013</w:t>
      </w:r>
    </w:p>
    <w:p w:rsidR="004F46B3" w:rsidRDefault="004F46B3">
      <w:pPr>
        <w:tabs>
          <w:tab w:val="center" w:pos="4253"/>
        </w:tabs>
        <w:suppressAutoHyphens/>
        <w:jc w:val="center"/>
        <w:rPr>
          <w:b/>
          <w:bCs/>
          <w:lang w:val="es-ES_tradnl"/>
        </w:rPr>
      </w:pPr>
    </w:p>
    <w:p w:rsidR="004F46B3" w:rsidRDefault="004F46B3">
      <w:pPr>
        <w:tabs>
          <w:tab w:val="center" w:pos="4253"/>
        </w:tabs>
        <w:suppressAutoHyphens/>
        <w:jc w:val="center"/>
        <w:rPr>
          <w:b/>
          <w:bCs/>
          <w:lang w:val="es-ES_tradnl"/>
        </w:rPr>
      </w:pPr>
      <w:r>
        <w:rPr>
          <w:b/>
          <w:bCs/>
          <w:lang w:val="en-GB"/>
        </w:rPr>
        <w:t xml:space="preserve">(E. E. Nº 2013-17-1-0002630, Ent. </w:t>
      </w:r>
      <w:r>
        <w:rPr>
          <w:b/>
          <w:bCs/>
          <w:lang w:val="es-ES_tradnl"/>
        </w:rPr>
        <w:t>N° 2316/13)</w:t>
      </w:r>
    </w:p>
    <w:p w:rsidR="004F46B3" w:rsidRDefault="004F46B3">
      <w:pPr>
        <w:pStyle w:val="Footer"/>
        <w:tabs>
          <w:tab w:val="clear" w:pos="4252"/>
          <w:tab w:val="clear" w:pos="8504"/>
        </w:tabs>
        <w:spacing w:line="360" w:lineRule="auto"/>
        <w:jc w:val="both"/>
      </w:pPr>
    </w:p>
    <w:p w:rsidR="004F46B3" w:rsidRDefault="004F46B3">
      <w:pPr>
        <w:spacing w:line="360" w:lineRule="auto"/>
        <w:ind w:firstLine="851"/>
        <w:jc w:val="both"/>
      </w:pPr>
      <w:r>
        <w:rPr>
          <w:b/>
          <w:bCs/>
        </w:rPr>
        <w:t>VISTO:</w:t>
      </w:r>
      <w:r>
        <w:t xml:space="preserve"> que este Tribunal ha examinado el Estado de Ejecución Presupuestal correspondiente al Ejercicio finalizado el 31 de diciembre de 2012, formulado por el Instituto del Niño y Adolescente del Uruguay (INAU);</w:t>
      </w:r>
    </w:p>
    <w:p w:rsidR="004F46B3" w:rsidRDefault="004F46B3">
      <w:pPr>
        <w:spacing w:line="360" w:lineRule="auto"/>
        <w:ind w:firstLine="851"/>
        <w:jc w:val="both"/>
      </w:pPr>
      <w:r>
        <w:rPr>
          <w:b/>
          <w:bCs/>
        </w:rPr>
        <w:t>RESULTANDO:</w:t>
      </w:r>
      <w:r>
        <w:t xml:space="preserve"> que el examen practicado fue realizado de acuerdo con los Principios Fundamentales de Auditoría (ISSAI 100, 200, 300 y 400) y las Directrices de Auditoría  Financiera (ISSAI 1000 a 2999) emitidas por la Organización Internacional de Entidades Fiscalizadoras Superiores (INTOSAI);</w:t>
      </w:r>
    </w:p>
    <w:p w:rsidR="004F46B3" w:rsidRDefault="004F46B3">
      <w:pPr>
        <w:spacing w:line="360" w:lineRule="auto"/>
        <w:ind w:firstLine="851"/>
        <w:jc w:val="both"/>
      </w:pPr>
      <w:r>
        <w:rPr>
          <w:b/>
          <w:bCs/>
        </w:rPr>
        <w:t>CONSIDERANDO:</w:t>
      </w:r>
      <w:r>
        <w:t xml:space="preserve"> que las conclusiones y evidencias obtenidas son las que se expresan en el Informe de Auditoría, que incluye Dictamen e Informe a la Administración;</w:t>
      </w:r>
    </w:p>
    <w:p w:rsidR="004F46B3" w:rsidRDefault="004F46B3">
      <w:pPr>
        <w:spacing w:line="360" w:lineRule="auto"/>
        <w:ind w:firstLine="851"/>
        <w:jc w:val="both"/>
      </w:pPr>
      <w:r>
        <w:rPr>
          <w:b/>
          <w:bCs/>
        </w:rPr>
        <w:t>ATENTO:</w:t>
      </w:r>
      <w:r>
        <w:t xml:space="preserve"> a lo dispuesto  en el Artículo 211 Literales C) y E) de la Constitución de la República y Artículos 104 y 141 del Decreto 150/2012 Texto Ordenado de la Ley de Contabilidad y Administración Financiera (TOCAF);</w:t>
      </w:r>
    </w:p>
    <w:p w:rsidR="004F46B3" w:rsidRDefault="004F46B3">
      <w:pPr>
        <w:pStyle w:val="Heading1"/>
        <w:spacing w:line="360" w:lineRule="auto"/>
        <w:ind w:left="2160" w:firstLine="720"/>
      </w:pPr>
      <w:r>
        <w:t>EL TRIBUNAL ACUERDA</w:t>
      </w:r>
    </w:p>
    <w:p w:rsidR="004F46B3" w:rsidRDefault="004F46B3">
      <w:pPr>
        <w:pStyle w:val="BodyTextIndent"/>
      </w:pPr>
      <w:r>
        <w:rPr>
          <w:b/>
          <w:bCs/>
        </w:rPr>
        <w:t>1)</w:t>
      </w:r>
      <w:r>
        <w:t xml:space="preserve"> Aprobar el Informe de Auditoría correspondiente  al Balance de Ejecución Presupuestal del Instituto del Niño y Adolescente del Uruguay (INAU) del Ejercicio 2012;</w:t>
      </w:r>
    </w:p>
    <w:p w:rsidR="004F46B3" w:rsidRDefault="004F46B3">
      <w:pPr>
        <w:pStyle w:val="BodyText3"/>
        <w:widowControl/>
        <w:suppressAutoHyphens w:val="0"/>
        <w:spacing w:line="360" w:lineRule="auto"/>
        <w:ind w:left="426" w:hanging="426"/>
        <w:rPr>
          <w:rFonts w:ascii="Arial" w:hAnsi="Arial" w:cs="Arial"/>
          <w:spacing w:val="0"/>
        </w:rPr>
      </w:pPr>
      <w:r>
        <w:rPr>
          <w:rFonts w:ascii="Arial" w:hAnsi="Arial" w:cs="Arial"/>
          <w:b/>
          <w:bCs/>
          <w:spacing w:val="0"/>
        </w:rPr>
        <w:t>2)</w:t>
      </w:r>
      <w:r>
        <w:rPr>
          <w:rFonts w:ascii="Arial" w:hAnsi="Arial" w:cs="Arial"/>
          <w:spacing w:val="0"/>
        </w:rPr>
        <w:t xml:space="preserve"> </w:t>
      </w:r>
      <w:r>
        <w:rPr>
          <w:rFonts w:ascii="Arial" w:hAnsi="Arial" w:cs="Arial"/>
        </w:rPr>
        <w:t xml:space="preserve"> Remitir dicho Informe al Directorio del Instituto del Niño y Adolescente del Uruguay (INAU)</w:t>
      </w:r>
      <w:r>
        <w:rPr>
          <w:rFonts w:ascii="Arial" w:hAnsi="Arial" w:cs="Arial"/>
          <w:spacing w:val="0"/>
        </w:rPr>
        <w:t>, y</w:t>
      </w:r>
    </w:p>
    <w:p w:rsidR="004F46B3" w:rsidRDefault="004F46B3">
      <w:pPr>
        <w:pStyle w:val="BodyText3"/>
        <w:widowControl/>
        <w:suppressAutoHyphens w:val="0"/>
        <w:spacing w:line="360" w:lineRule="auto"/>
        <w:ind w:left="426" w:hanging="426"/>
        <w:rPr>
          <w:rFonts w:ascii="Arial" w:hAnsi="Arial" w:cs="Arial"/>
          <w:spacing w:val="0"/>
        </w:rPr>
      </w:pPr>
      <w:r>
        <w:rPr>
          <w:rFonts w:ascii="Arial" w:hAnsi="Arial" w:cs="Arial"/>
          <w:b/>
          <w:bCs/>
          <w:spacing w:val="0"/>
        </w:rPr>
        <w:t>3)</w:t>
      </w:r>
      <w:r>
        <w:rPr>
          <w:rFonts w:ascii="Arial" w:hAnsi="Arial" w:cs="Arial"/>
          <w:spacing w:val="0"/>
        </w:rPr>
        <w:t xml:space="preserve">  Dar cuenta a la Asamblea General</w:t>
      </w:r>
    </w:p>
    <w:p w:rsidR="004F46B3" w:rsidRDefault="004F46B3">
      <w:pPr>
        <w:pStyle w:val="Title"/>
      </w:pPr>
    </w:p>
    <w:p w:rsidR="004F46B3" w:rsidRDefault="004F46B3">
      <w:pPr>
        <w:pStyle w:val="Title"/>
      </w:pPr>
    </w:p>
    <w:p w:rsidR="004F46B3" w:rsidRDefault="004F46B3">
      <w:pPr>
        <w:pStyle w:val="Title"/>
      </w:pPr>
    </w:p>
    <w:p w:rsidR="004F46B3" w:rsidRDefault="004F46B3">
      <w:pPr>
        <w:pStyle w:val="Title"/>
      </w:pPr>
      <w:r>
        <w:t>DICTAMEN</w:t>
      </w:r>
    </w:p>
    <w:p w:rsidR="004F46B3" w:rsidRDefault="004F46B3">
      <w:pPr>
        <w:spacing w:line="360" w:lineRule="auto"/>
        <w:jc w:val="both"/>
      </w:pPr>
    </w:p>
    <w:p w:rsidR="004F46B3" w:rsidRDefault="004F46B3">
      <w:pPr>
        <w:spacing w:line="360" w:lineRule="auto"/>
        <w:ind w:firstLine="851"/>
        <w:jc w:val="both"/>
      </w:pPr>
      <w:r>
        <w:t>El Tribunal de Cuentas ha examinado el Balance de Ejecución Presupuestal del Instituto del Niño y Adolescente del Uruguay (INAU), correspondiente al período comprendido entre el 1 de enero y el 31 de diciembre de 2012 y ha relevado el cumplimiento de las disposiciones legales vigentes por parte del Organismo, relacionadas con el Estado Objeto de examen.</w:t>
      </w:r>
    </w:p>
    <w:p w:rsidR="004F46B3" w:rsidRDefault="004F46B3">
      <w:pPr>
        <w:spacing w:line="360" w:lineRule="auto"/>
        <w:jc w:val="both"/>
      </w:pPr>
    </w:p>
    <w:p w:rsidR="004F46B3" w:rsidRDefault="004F46B3">
      <w:pPr>
        <w:spacing w:line="360" w:lineRule="auto"/>
        <w:jc w:val="both"/>
      </w:pPr>
      <w:r>
        <w:rPr>
          <w:b/>
          <w:bCs/>
        </w:rPr>
        <w:t>Responsabilidad de la Dirección por los Estados Financieros</w:t>
      </w:r>
      <w:r>
        <w:t>.</w:t>
      </w:r>
    </w:p>
    <w:p w:rsidR="004F46B3" w:rsidRDefault="004F46B3">
      <w:pPr>
        <w:spacing w:line="360" w:lineRule="auto"/>
        <w:jc w:val="both"/>
      </w:pPr>
      <w:r>
        <w:t>La Dirección del INAU es responsable por la preparación y la razonable presentación de estos estados de acuerdo con las normas y criterios establecidas en el TOCAF  las leyes y reglamentos aplicables.</w:t>
      </w:r>
    </w:p>
    <w:p w:rsidR="004F46B3" w:rsidRDefault="004F46B3">
      <w:pPr>
        <w:spacing w:line="360" w:lineRule="auto"/>
        <w:jc w:val="both"/>
      </w:pPr>
      <w:r>
        <w:t>Esta responsabilidad incluye diseñar, implementar y mantener un sistema de control interno adecuado para la preparación y presentación razonable de Estados Financieros que estén libres de errores significativos, ya sea debido a fraude o error, seleccionar y aplicar las políticas contables apropiadas y realizar estimaciones contables de acuerdo a las circunstancias.</w:t>
      </w:r>
    </w:p>
    <w:p w:rsidR="004F46B3" w:rsidRDefault="004F46B3">
      <w:pPr>
        <w:spacing w:line="360" w:lineRule="auto"/>
        <w:jc w:val="both"/>
      </w:pPr>
    </w:p>
    <w:p w:rsidR="004F46B3" w:rsidRDefault="004F46B3">
      <w:pPr>
        <w:spacing w:line="360" w:lineRule="auto"/>
        <w:jc w:val="both"/>
        <w:rPr>
          <w:b/>
          <w:bCs/>
        </w:rPr>
      </w:pPr>
      <w:r>
        <w:rPr>
          <w:b/>
          <w:bCs/>
        </w:rPr>
        <w:t>Responsabilidad del auditor.</w:t>
      </w:r>
    </w:p>
    <w:p w:rsidR="004F46B3" w:rsidRDefault="004F46B3">
      <w:pPr>
        <w:spacing w:line="360" w:lineRule="auto"/>
        <w:jc w:val="both"/>
      </w:pPr>
      <w:r>
        <w:t>La responsabilidad del Tribunal de Cuentas es expresar una opinión sobre dicho Balance de Ejecución Presupuestal, basada en la auditoría practicada.</w:t>
      </w:r>
    </w:p>
    <w:p w:rsidR="004F46B3" w:rsidRDefault="004F46B3">
      <w:pPr>
        <w:spacing w:line="360" w:lineRule="auto"/>
        <w:jc w:val="both"/>
      </w:pPr>
      <w:r>
        <w:t>El examen fue realizado de acuerdo con los Principios Fundamentales de Auditoría (ISSAI 100, 200, 300 y 400)  y las Directrices de Auditoría Financiera (ISSAI 1000 a 2999) de la Organización Internacional de Entidades Fiscalizadoras Superiores (INTOSAI).</w:t>
      </w:r>
    </w:p>
    <w:p w:rsidR="004F46B3" w:rsidRDefault="004F46B3">
      <w:pPr>
        <w:spacing w:line="360" w:lineRule="auto"/>
        <w:jc w:val="both"/>
      </w:pPr>
      <w:r>
        <w:t>Estas normas requieren que se planifique y se realice la auditoría para obtener seguridad razonable acerca de si la Ejecución Presupuestal está libre de errores significativos.</w:t>
      </w:r>
    </w:p>
    <w:p w:rsidR="004F46B3" w:rsidRDefault="004F46B3">
      <w:pPr>
        <w:spacing w:line="360" w:lineRule="auto"/>
        <w:jc w:val="both"/>
      </w:pPr>
    </w:p>
    <w:p w:rsidR="004F46B3" w:rsidRDefault="004F46B3">
      <w:pPr>
        <w:spacing w:line="360" w:lineRule="auto"/>
        <w:jc w:val="both"/>
      </w:pPr>
      <w: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presentación general de los estados financieros.</w:t>
      </w:r>
    </w:p>
    <w:p w:rsidR="004F46B3" w:rsidRDefault="004F46B3">
      <w:pPr>
        <w:spacing w:line="360" w:lineRule="auto"/>
        <w:jc w:val="both"/>
      </w:pPr>
      <w:r>
        <w:t>Se considera que la evidencia de auditoría obtenida brinda una base suficiente y apropiada para sustentar la opinión.</w:t>
      </w:r>
    </w:p>
    <w:p w:rsidR="004F46B3" w:rsidRDefault="004F46B3">
      <w:pPr>
        <w:spacing w:line="360" w:lineRule="auto"/>
        <w:jc w:val="both"/>
      </w:pPr>
    </w:p>
    <w:p w:rsidR="004F46B3" w:rsidRDefault="004F46B3">
      <w:pPr>
        <w:pStyle w:val="Heading1"/>
      </w:pPr>
      <w:r>
        <w:t>Opinión</w:t>
      </w:r>
    </w:p>
    <w:p w:rsidR="004F46B3" w:rsidRDefault="004F46B3">
      <w:pPr>
        <w:spacing w:line="360" w:lineRule="auto"/>
        <w:jc w:val="both"/>
      </w:pPr>
      <w:r>
        <w:t>En opinión del Tribunal de Cuentas, el Balance de Ejecución Presupuestal mencionado presenta razonablemente, en todos sus aspectos importantes, la ejecución presupuestal del Instituto del Niño y Adolescente del Uruguay correspondiente al período 1º de enero al 31 de diciembre de 2012, de acuerdo con las normas y criterios establecidos en el TOCAF y Ordenanzas del Tribunal de Cuentas y otras normas legales  y reglamentarias vigentes, aplicables en materia de ejecución presupuestal.</w:t>
      </w:r>
    </w:p>
    <w:p w:rsidR="004F46B3" w:rsidRDefault="004F46B3">
      <w:pPr>
        <w:spacing w:line="360" w:lineRule="auto"/>
        <w:jc w:val="both"/>
      </w:pPr>
    </w:p>
    <w:p w:rsidR="004F46B3" w:rsidRDefault="004F46B3">
      <w:pPr>
        <w:spacing w:line="360" w:lineRule="auto"/>
        <w:jc w:val="both"/>
      </w:pPr>
      <w:r>
        <w:t>Con relación al cumplimiento de las disposiciones legales  y reglamentarias vigentes relacionadas con el estado que fue objeto de examen en el transcurso de la auditoría, el INAU no ha dado cumplimiento a las siguientes normas:</w:t>
      </w:r>
    </w:p>
    <w:p w:rsidR="004F46B3" w:rsidRDefault="004F46B3">
      <w:pPr>
        <w:pStyle w:val="Heading1"/>
        <w:spacing w:line="360" w:lineRule="auto"/>
      </w:pPr>
    </w:p>
    <w:p w:rsidR="004F46B3" w:rsidRDefault="004F46B3">
      <w:pPr>
        <w:pStyle w:val="BodyText"/>
        <w:rPr>
          <w:b/>
          <w:bCs/>
        </w:rPr>
      </w:pPr>
      <w:r>
        <w:rPr>
          <w:b/>
          <w:bCs/>
        </w:rPr>
        <w:t>Artículos 96 a 99 del TOCAF</w:t>
      </w:r>
    </w:p>
    <w:p w:rsidR="004F46B3" w:rsidRDefault="004F46B3">
      <w:pPr>
        <w:spacing w:line="360" w:lineRule="auto"/>
        <w:jc w:val="both"/>
      </w:pPr>
      <w:r>
        <w:t>No se presentan los estados previstos por dichos Artículos.</w:t>
      </w:r>
    </w:p>
    <w:p w:rsidR="004F46B3" w:rsidRDefault="004F46B3">
      <w:pPr>
        <w:rPr>
          <w:b/>
          <w:bCs/>
        </w:rPr>
      </w:pPr>
    </w:p>
    <w:p w:rsidR="004F46B3" w:rsidRDefault="004F46B3">
      <w:pPr>
        <w:spacing w:line="360" w:lineRule="auto"/>
        <w:jc w:val="both"/>
        <w:rPr>
          <w:b/>
          <w:bCs/>
        </w:rPr>
      </w:pPr>
      <w:r>
        <w:rPr>
          <w:b/>
          <w:bCs/>
        </w:rPr>
        <w:t>Artículos 13 y 20 del TOCAF.</w:t>
      </w:r>
    </w:p>
    <w:p w:rsidR="004F46B3" w:rsidRDefault="004F46B3">
      <w:pPr>
        <w:spacing w:line="360" w:lineRule="auto"/>
        <w:jc w:val="both"/>
      </w:pPr>
      <w:r>
        <w:t>La Resolución del Directorio del Instituto 4363/12 de 30/12/12 asigna al Departamento de Apoyo Socio Económico una partida de $ 10:500.000 (pesos uruguayos diez millones quinientos mil) los que no fueron ejecutados en el Ejercicio 2012</w:t>
      </w:r>
    </w:p>
    <w:p w:rsidR="004F46B3" w:rsidRDefault="004F46B3">
      <w:pPr>
        <w:spacing w:line="360" w:lineRule="auto"/>
        <w:jc w:val="both"/>
      </w:pPr>
    </w:p>
    <w:p w:rsidR="004F46B3" w:rsidRDefault="004F46B3">
      <w:pPr>
        <w:spacing w:line="360" w:lineRule="auto"/>
        <w:jc w:val="both"/>
        <w:rPr>
          <w:b/>
          <w:bCs/>
        </w:rPr>
      </w:pPr>
      <w:r>
        <w:rPr>
          <w:b/>
          <w:bCs/>
        </w:rPr>
        <w:t>Artículo 16 del TOCAF, imputación a los Objetos de Gastos</w:t>
      </w:r>
    </w:p>
    <w:p w:rsidR="004F46B3" w:rsidRDefault="004F46B3">
      <w:pPr>
        <w:spacing w:line="360" w:lineRule="auto"/>
        <w:jc w:val="both"/>
      </w:pPr>
      <w:r>
        <w:t>Las afectaciones de las transferencias a la Corporación Nacional para el Desarrollo, en cumplimiento del Fideicomiso de Administración se realizaron al objeto 271, cuando corresponde que se afectara los objetos de gasto específicos 500 a 599, incumpliéndose con lo dispuesto en la referida norma.</w:t>
      </w:r>
    </w:p>
    <w:p w:rsidR="004F46B3" w:rsidRDefault="004F46B3">
      <w:pPr>
        <w:spacing w:line="360" w:lineRule="auto"/>
        <w:jc w:val="both"/>
      </w:pPr>
    </w:p>
    <w:p w:rsidR="004F46B3" w:rsidRDefault="004F46B3">
      <w:pPr>
        <w:pStyle w:val="Heading1"/>
        <w:spacing w:line="360" w:lineRule="auto"/>
      </w:pPr>
      <w:r>
        <w:t>Artículo 94 del TOCAF y Ordenanza 81 de este Tribunal.</w:t>
      </w:r>
    </w:p>
    <w:p w:rsidR="004F46B3" w:rsidRDefault="004F46B3">
      <w:pPr>
        <w:spacing w:line="360" w:lineRule="auto"/>
        <w:jc w:val="both"/>
      </w:pPr>
      <w:r>
        <w:t>El Instituto no presentó al Tribunal de Cuentas sus estados contables patrimoniales por el Ejercicio finalizado el 31/12/2012.</w:t>
      </w:r>
    </w:p>
    <w:p w:rsidR="004F46B3" w:rsidRDefault="004F46B3">
      <w:pPr>
        <w:spacing w:line="360" w:lineRule="auto"/>
        <w:jc w:val="both"/>
      </w:pPr>
    </w:p>
    <w:p w:rsidR="004F46B3" w:rsidRDefault="004F46B3">
      <w:pPr>
        <w:spacing w:line="360" w:lineRule="auto"/>
        <w:jc w:val="both"/>
        <w:rPr>
          <w:b/>
          <w:bCs/>
        </w:rPr>
      </w:pPr>
      <w:r>
        <w:rPr>
          <w:b/>
          <w:bCs/>
        </w:rPr>
        <w:t>Artículo 8 de la Ley 10.853, modificativas y concordantes.</w:t>
      </w:r>
    </w:p>
    <w:p w:rsidR="004F46B3" w:rsidRDefault="004F46B3">
      <w:pPr>
        <w:pStyle w:val="BodyText"/>
      </w:pPr>
      <w:r>
        <w:t>El Instituto no ha logrado aún establecer un procedimiento que permita el control de la versión de los recursos establecidos en la referida norma.</w:t>
      </w:r>
    </w:p>
    <w:p w:rsidR="004F46B3" w:rsidRDefault="004F46B3">
      <w:pPr>
        <w:spacing w:line="360" w:lineRule="auto"/>
        <w:jc w:val="both"/>
      </w:pPr>
    </w:p>
    <w:p w:rsidR="004F46B3" w:rsidRDefault="004F46B3">
      <w:pPr>
        <w:pStyle w:val="Heading1"/>
        <w:spacing w:line="360" w:lineRule="auto"/>
      </w:pPr>
      <w:r>
        <w:t>Artículo 164 de la Ley 16.713</w:t>
      </w:r>
    </w:p>
    <w:p w:rsidR="004F46B3" w:rsidRDefault="004F46B3">
      <w:pPr>
        <w:pStyle w:val="BodyText"/>
      </w:pPr>
      <w:r>
        <w:t>No se computan las prestaciones de vivienda para el cálculo de los aportes a BPS.</w:t>
      </w:r>
    </w:p>
    <w:p w:rsidR="004F46B3" w:rsidRDefault="004F46B3">
      <w:pPr>
        <w:spacing w:line="360" w:lineRule="auto"/>
        <w:jc w:val="both"/>
      </w:pPr>
    </w:p>
    <w:p w:rsidR="004F46B3" w:rsidRDefault="004F46B3">
      <w:pPr>
        <w:pStyle w:val="Heading1"/>
        <w:spacing w:line="360" w:lineRule="auto"/>
      </w:pPr>
      <w:r>
        <w:t>Liquidación de IRPF Ley 18.083 Decreto 148/07 Resolución DGI 662/007</w:t>
      </w:r>
    </w:p>
    <w:p w:rsidR="004F46B3" w:rsidRDefault="004F46B3">
      <w:pPr>
        <w:spacing w:line="360" w:lineRule="auto"/>
        <w:jc w:val="both"/>
      </w:pPr>
      <w:r>
        <w:t>No se computan las prestaciones de vivienda, seguros, vales de nafta, prestaciones de alimentación ni partida de transporte a efectos del cálculo de IRPF.</w:t>
      </w:r>
    </w:p>
    <w:p w:rsidR="004F46B3" w:rsidRDefault="004F46B3">
      <w:pPr>
        <w:spacing w:line="360" w:lineRule="auto"/>
        <w:jc w:val="both"/>
      </w:pPr>
    </w:p>
    <w:p w:rsidR="004F46B3" w:rsidRDefault="004F46B3">
      <w:pPr>
        <w:pStyle w:val="Heading1"/>
        <w:spacing w:line="360" w:lineRule="auto"/>
      </w:pPr>
      <w:r>
        <w:t>Instructivo 13 de CGN</w:t>
      </w:r>
    </w:p>
    <w:p w:rsidR="004F46B3" w:rsidRDefault="004F46B3">
      <w:pPr>
        <w:pStyle w:val="BodyText"/>
      </w:pPr>
      <w:r>
        <w:t>No se computa el seguro de vida a los efectos del cálculo de IRPF.</w:t>
      </w:r>
    </w:p>
    <w:p w:rsidR="004F46B3" w:rsidRDefault="004F46B3">
      <w:pPr>
        <w:pStyle w:val="Heading1"/>
        <w:spacing w:line="360" w:lineRule="auto"/>
      </w:pPr>
    </w:p>
    <w:p w:rsidR="004F46B3" w:rsidRDefault="004F46B3">
      <w:pPr>
        <w:pStyle w:val="Heading1"/>
        <w:spacing w:line="360" w:lineRule="auto"/>
      </w:pPr>
      <w:r>
        <w:t>Convenio 30 de la OIT</w:t>
      </w:r>
    </w:p>
    <w:p w:rsidR="004F46B3" w:rsidRDefault="004F46B3">
      <w:pPr>
        <w:spacing w:line="360" w:lineRule="auto"/>
        <w:jc w:val="both"/>
      </w:pPr>
      <w:r>
        <w:t>El Instituto no ha gestionado aún la reglamentación del régimen especial de horas extras.</w:t>
      </w:r>
    </w:p>
    <w:p w:rsidR="004F46B3" w:rsidRDefault="004F46B3">
      <w:pPr>
        <w:spacing w:line="360" w:lineRule="auto"/>
        <w:jc w:val="both"/>
      </w:pPr>
    </w:p>
    <w:p w:rsidR="004F46B3" w:rsidRDefault="004F46B3">
      <w:pPr>
        <w:spacing w:line="360" w:lineRule="auto"/>
        <w:jc w:val="both"/>
        <w:rPr>
          <w:b/>
          <w:bCs/>
        </w:rPr>
      </w:pPr>
      <w:r>
        <w:rPr>
          <w:b/>
          <w:bCs/>
        </w:rPr>
        <w:t>Resolución del  Instituto número 3826/2009  de 30 de diciembre de 2009.</w:t>
      </w:r>
    </w:p>
    <w:p w:rsidR="004F46B3" w:rsidRDefault="004F46B3">
      <w:pPr>
        <w:pStyle w:val="BodyText"/>
      </w:pPr>
      <w:r>
        <w:t>El cargo director de Auditoría Interna de Gestión no es desempeñado por un funcionario que revista la calidad de Contador Público.</w:t>
      </w:r>
    </w:p>
    <w:p w:rsidR="004F46B3" w:rsidRDefault="004F46B3">
      <w:pPr>
        <w:spacing w:line="360" w:lineRule="auto"/>
        <w:jc w:val="both"/>
      </w:pPr>
    </w:p>
    <w:p w:rsidR="004F46B3" w:rsidRDefault="004F46B3">
      <w:pPr>
        <w:spacing w:line="360" w:lineRule="auto"/>
        <w:jc w:val="both"/>
      </w:pPr>
    </w:p>
    <w:p w:rsidR="004F46B3" w:rsidRDefault="004F46B3"/>
    <w:p w:rsidR="004F46B3" w:rsidRDefault="004F46B3">
      <w:pPr>
        <w:autoSpaceDE w:val="0"/>
        <w:autoSpaceDN w:val="0"/>
        <w:adjustRightInd w:val="0"/>
        <w:rPr>
          <w:b/>
          <w:bCs/>
          <w:lang w:eastAsia="es-UY"/>
        </w:rPr>
      </w:pPr>
    </w:p>
    <w:p w:rsidR="004F46B3" w:rsidRDefault="004F46B3">
      <w:pPr>
        <w:autoSpaceDE w:val="0"/>
        <w:autoSpaceDN w:val="0"/>
        <w:adjustRightInd w:val="0"/>
        <w:rPr>
          <w:b/>
          <w:bCs/>
          <w:lang w:val="es-UY" w:eastAsia="es-UY"/>
        </w:rPr>
      </w:pPr>
    </w:p>
    <w:p w:rsidR="004F46B3" w:rsidRDefault="004F46B3">
      <w:pPr>
        <w:autoSpaceDE w:val="0"/>
        <w:autoSpaceDN w:val="0"/>
        <w:adjustRightInd w:val="0"/>
        <w:rPr>
          <w:b/>
          <w:bCs/>
          <w:lang w:val="es-UY" w:eastAsia="es-UY"/>
        </w:rPr>
      </w:pPr>
    </w:p>
    <w:p w:rsidR="004F46B3" w:rsidRDefault="004F46B3">
      <w:pPr>
        <w:autoSpaceDE w:val="0"/>
        <w:autoSpaceDN w:val="0"/>
        <w:adjustRightInd w:val="0"/>
        <w:jc w:val="center"/>
        <w:rPr>
          <w:b/>
          <w:bCs/>
          <w:lang w:val="es-UY" w:eastAsia="es-UY"/>
        </w:rPr>
      </w:pPr>
      <w:r>
        <w:rPr>
          <w:b/>
          <w:bCs/>
          <w:lang w:val="es-UY" w:eastAsia="es-UY"/>
        </w:rPr>
        <w:t>INFORME A LA ADMINISTRACIÓN</w:t>
      </w:r>
    </w:p>
    <w:p w:rsidR="004F46B3" w:rsidRDefault="004F46B3">
      <w:pPr>
        <w:pStyle w:val="BodyText"/>
      </w:pPr>
    </w:p>
    <w:p w:rsidR="004F46B3" w:rsidRDefault="004F46B3">
      <w:pPr>
        <w:pStyle w:val="BodyText"/>
        <w:ind w:firstLine="851"/>
      </w:pPr>
      <w:r>
        <w:t>El Tribunal de Cuentas ha examinado la Rendición de Cuentas y Balance de Ejecución Presupuestal correspondiente al Ejercicio 2012 y ha emitido su correspondiente Dictamen.</w:t>
      </w:r>
    </w:p>
    <w:p w:rsidR="004F46B3" w:rsidRDefault="004F46B3">
      <w:pPr>
        <w:pStyle w:val="BodyText"/>
        <w:ind w:firstLine="851"/>
      </w:pPr>
      <w:r>
        <w:t xml:space="preserve">Como consecuencia del examen practicado, se incluyen en este Informe comentarios que se ha entendido conveniente exponer, relacionados a la situación de determinados capítulos y rubros de los estados examinados, obligaciones a cumplir, así como recomendaciones que deberá atender el Organismo. </w:t>
      </w:r>
    </w:p>
    <w:p w:rsidR="004F46B3" w:rsidRDefault="004F46B3">
      <w:pPr>
        <w:pStyle w:val="BodyText"/>
        <w:ind w:firstLine="851"/>
      </w:pPr>
      <w:r>
        <w:t>Se incluye además una evaluación de la forma de cumplimiento de las recomendaciones presentadas en el informe de auditoría correspondiente al Ejercicio anterior.</w:t>
      </w:r>
    </w:p>
    <w:p w:rsidR="004F46B3" w:rsidRDefault="004F46B3">
      <w:pPr>
        <w:spacing w:line="360" w:lineRule="auto"/>
        <w:rPr>
          <w:b/>
          <w:bCs/>
        </w:rPr>
      </w:pPr>
    </w:p>
    <w:p w:rsidR="004F46B3" w:rsidRDefault="004F46B3">
      <w:pPr>
        <w:spacing w:line="360" w:lineRule="auto"/>
        <w:jc w:val="both"/>
        <w:rPr>
          <w:b/>
          <w:bCs/>
        </w:rPr>
      </w:pPr>
      <w:r>
        <w:rPr>
          <w:b/>
          <w:bCs/>
        </w:rPr>
        <w:t xml:space="preserve">1  Constataciones que no afectan la opinión </w:t>
      </w:r>
    </w:p>
    <w:p w:rsidR="004F46B3" w:rsidRDefault="004F46B3">
      <w:pPr>
        <w:widowControl w:val="0"/>
        <w:tabs>
          <w:tab w:val="left" w:pos="567"/>
          <w:tab w:val="left" w:pos="851"/>
        </w:tabs>
        <w:spacing w:line="360" w:lineRule="auto"/>
        <w:jc w:val="both"/>
        <w:outlineLvl w:val="1"/>
        <w:rPr>
          <w:b/>
          <w:bCs/>
          <w:kern w:val="18"/>
          <w:lang w:val="es-UY"/>
        </w:rPr>
      </w:pPr>
      <w:bookmarkStart w:id="0" w:name="_Toc242174617"/>
      <w:bookmarkStart w:id="1" w:name="_Toc279420626"/>
      <w:r>
        <w:rPr>
          <w:b/>
          <w:bCs/>
          <w:kern w:val="18"/>
          <w:lang w:val="es-UY"/>
        </w:rPr>
        <w:t>1.1  Debilidades de Control Interno</w:t>
      </w:r>
      <w:bookmarkEnd w:id="0"/>
      <w:bookmarkEnd w:id="1"/>
    </w:p>
    <w:p w:rsidR="004F46B3" w:rsidRDefault="004F46B3">
      <w:pPr>
        <w:widowControl w:val="0"/>
        <w:tabs>
          <w:tab w:val="left" w:pos="567"/>
          <w:tab w:val="left" w:pos="851"/>
        </w:tabs>
        <w:spacing w:line="360" w:lineRule="auto"/>
        <w:ind w:left="709" w:hanging="709"/>
        <w:jc w:val="both"/>
        <w:outlineLvl w:val="1"/>
        <w:rPr>
          <w:b/>
          <w:bCs/>
          <w:kern w:val="18"/>
          <w:lang w:val="es-UY"/>
        </w:rPr>
      </w:pPr>
      <w:bookmarkStart w:id="2" w:name="_Toc242174618"/>
      <w:bookmarkStart w:id="3" w:name="_Toc279420627"/>
      <w:r>
        <w:rPr>
          <w:b/>
          <w:bCs/>
          <w:kern w:val="18"/>
          <w:lang w:val="es-UY"/>
        </w:rPr>
        <w:t xml:space="preserve">1.1.1 </w:t>
      </w:r>
      <w:bookmarkEnd w:id="2"/>
      <w:bookmarkEnd w:id="3"/>
      <w:r>
        <w:rPr>
          <w:b/>
          <w:bCs/>
          <w:kern w:val="18"/>
          <w:lang w:val="es-UY"/>
        </w:rPr>
        <w:t xml:space="preserve">Documentación de Pagos de Ayudas Económicas Otorgadas </w:t>
      </w:r>
    </w:p>
    <w:p w:rsidR="004F46B3" w:rsidRDefault="004F46B3">
      <w:pPr>
        <w:widowControl w:val="0"/>
        <w:tabs>
          <w:tab w:val="left" w:pos="284"/>
          <w:tab w:val="left" w:pos="851"/>
        </w:tabs>
        <w:spacing w:line="360" w:lineRule="auto"/>
        <w:jc w:val="both"/>
        <w:outlineLvl w:val="1"/>
      </w:pPr>
      <w:r>
        <w:t>La  documentación utilizada por el Departamento de Ayudas Económicas dependiente de la División Atención Integral a la Familia, para documentar los pagos a cuidadoras por atención en clínicas no presentan las debidas formalidades incumpliendo con los principios básicos de control interno y de buena administración.</w:t>
      </w:r>
    </w:p>
    <w:p w:rsidR="004F46B3" w:rsidRDefault="004F46B3">
      <w:pPr>
        <w:widowControl w:val="0"/>
        <w:tabs>
          <w:tab w:val="left" w:pos="284"/>
          <w:tab w:val="left" w:pos="851"/>
        </w:tabs>
        <w:spacing w:line="360" w:lineRule="auto"/>
        <w:jc w:val="both"/>
        <w:outlineLvl w:val="1"/>
      </w:pPr>
    </w:p>
    <w:p w:rsidR="004F46B3" w:rsidRDefault="004F46B3">
      <w:pPr>
        <w:spacing w:line="360" w:lineRule="auto"/>
        <w:jc w:val="both"/>
        <w:rPr>
          <w:b/>
          <w:bCs/>
        </w:rPr>
      </w:pPr>
      <w:r>
        <w:rPr>
          <w:b/>
          <w:bCs/>
        </w:rPr>
        <w:t>1.2 Incumplimiento de Normas Legales</w:t>
      </w:r>
    </w:p>
    <w:p w:rsidR="004F46B3" w:rsidRDefault="004F46B3">
      <w:pPr>
        <w:pStyle w:val="BodyText"/>
        <w:rPr>
          <w:b/>
          <w:bCs/>
        </w:rPr>
      </w:pPr>
      <w:r>
        <w:rPr>
          <w:b/>
          <w:bCs/>
        </w:rPr>
        <w:t xml:space="preserve">1.2.1 Artículos 96 a 99 del TOCAF </w:t>
      </w:r>
    </w:p>
    <w:p w:rsidR="004F46B3" w:rsidRDefault="004F46B3">
      <w:pPr>
        <w:spacing w:line="360" w:lineRule="auto"/>
        <w:jc w:val="both"/>
      </w:pPr>
      <w:r>
        <w:t>No se presentan los estados previstos por los Artículos 96 a 99 del TOCAF.</w:t>
      </w:r>
    </w:p>
    <w:p w:rsidR="004F46B3" w:rsidRDefault="004F46B3">
      <w:pPr>
        <w:spacing w:line="360" w:lineRule="auto"/>
        <w:jc w:val="both"/>
        <w:rPr>
          <w:b/>
          <w:bCs/>
        </w:rPr>
      </w:pPr>
      <w:r>
        <w:rPr>
          <w:b/>
          <w:bCs/>
        </w:rPr>
        <w:t>1.2.2  Artículos 13 y 20 del TOCAF.</w:t>
      </w:r>
    </w:p>
    <w:p w:rsidR="004F46B3" w:rsidRDefault="004F46B3">
      <w:pPr>
        <w:spacing w:line="360" w:lineRule="auto"/>
        <w:jc w:val="both"/>
      </w:pPr>
      <w:r>
        <w:t>Por Resolución del Directorio del Instituto Nº 4363/12 de 30/12/12 se asignó al Departamento de Apoyo Socio Económico una partida de $ 10:500.000 (pesos uruguayos  diez millones  quinientos mil)  para  lo cual se emitió la obligación Nº 123332 cuyo beneficiario es el INAU. Posteriormente, se han efectuando entregas parciales una vez rendida la partida anterior. Al cierre del Ejercicio no fue ejecutada totalmente la partida asignada, ni fueron devueltos los fondos  no utilizados. En el Balance de Ejecución Presupuestal  presentado dicha partida figura como totalmente ejecutada  por lo cual se incumplió con lo establecido en los Artículos 13 y 20 del TOCAF.</w:t>
      </w:r>
    </w:p>
    <w:p w:rsidR="004F46B3" w:rsidRDefault="004F46B3">
      <w:pPr>
        <w:pStyle w:val="Heading1"/>
        <w:spacing w:line="360" w:lineRule="auto"/>
      </w:pPr>
      <w:r>
        <w:t>1.2.3 Artículo 16 del TOCAF, imputación a los Objetos de Gastos</w:t>
      </w:r>
    </w:p>
    <w:p w:rsidR="004F46B3" w:rsidRDefault="004F46B3">
      <w:pPr>
        <w:spacing w:line="360" w:lineRule="auto"/>
        <w:jc w:val="both"/>
      </w:pPr>
      <w:r>
        <w:t>Las afectaciones de las transferencias a la Corporación Nacional para el Desarrollo, en cumplimiento del Fideicomiso de Administración se realizaron al objeto 271, cuando corresponde que se afectara los objetos de gastos específicos 500 a 599, incumpliéndose con lo dispuesto en el Artículo 16 del TOCAF.</w:t>
      </w:r>
    </w:p>
    <w:p w:rsidR="004F46B3" w:rsidRDefault="004F46B3">
      <w:pPr>
        <w:pStyle w:val="Heading1"/>
        <w:spacing w:line="360" w:lineRule="auto"/>
      </w:pPr>
      <w:r>
        <w:t>1.2.4 Artículo 94 del TOCAF Ordenanza 81 de este Tribunal.</w:t>
      </w:r>
    </w:p>
    <w:p w:rsidR="004F46B3" w:rsidRDefault="004F46B3">
      <w:pPr>
        <w:spacing w:line="360" w:lineRule="auto"/>
        <w:jc w:val="both"/>
      </w:pPr>
      <w:r>
        <w:t>El  Instituto no presentó al Tribunal de Cuentas los estados contables patrimoniales por el Ejercicio finalizado el 31/12/2012 de acuerdo a lo previsto en la Ordenanza 81 de este Tribunal.</w:t>
      </w:r>
    </w:p>
    <w:p w:rsidR="004F46B3" w:rsidRDefault="004F46B3">
      <w:pPr>
        <w:spacing w:line="360" w:lineRule="auto"/>
        <w:jc w:val="both"/>
        <w:rPr>
          <w:b/>
          <w:bCs/>
        </w:rPr>
      </w:pPr>
      <w:r>
        <w:rPr>
          <w:b/>
          <w:bCs/>
        </w:rPr>
        <w:t>1.2.5 Recursos creados por el Artículo 8 de la Ley 10853</w:t>
      </w:r>
    </w:p>
    <w:p w:rsidR="004F46B3" w:rsidRDefault="004F46B3">
      <w:pPr>
        <w:spacing w:line="360" w:lineRule="auto"/>
        <w:jc w:val="both"/>
      </w:pPr>
      <w:r>
        <w:t xml:space="preserve">No se han establecido procedimientos que permitan tener un adecuado control de la versión de dichos recursos.   </w:t>
      </w:r>
    </w:p>
    <w:p w:rsidR="004F46B3" w:rsidRDefault="004F46B3">
      <w:pPr>
        <w:spacing w:line="360" w:lineRule="auto"/>
        <w:jc w:val="both"/>
        <w:rPr>
          <w:b/>
          <w:bCs/>
        </w:rPr>
      </w:pPr>
      <w:r>
        <w:rPr>
          <w:b/>
          <w:bCs/>
        </w:rPr>
        <w:t>1.2.6 Aportes al Banco de Previsión Social</w:t>
      </w:r>
    </w:p>
    <w:p w:rsidR="004F46B3" w:rsidRDefault="004F46B3">
      <w:pPr>
        <w:spacing w:line="360" w:lineRule="auto"/>
        <w:jc w:val="both"/>
      </w:pPr>
      <w:r>
        <w:t>No se incluyen en las bases de cálculo para determinar los aportes al BPS las prestaciones de vivienda, incumpliéndose con lo dispuesto por el Artículo 164 de la Ley 16713.</w:t>
      </w:r>
    </w:p>
    <w:p w:rsidR="004F46B3" w:rsidRDefault="004F46B3">
      <w:pPr>
        <w:spacing w:line="360" w:lineRule="auto"/>
        <w:jc w:val="both"/>
        <w:rPr>
          <w:b/>
          <w:bCs/>
        </w:rPr>
      </w:pPr>
      <w:r>
        <w:rPr>
          <w:b/>
          <w:bCs/>
        </w:rPr>
        <w:t>1.2.7 Retenciones de IRPF</w:t>
      </w:r>
    </w:p>
    <w:p w:rsidR="004F46B3" w:rsidRDefault="004F46B3">
      <w:pPr>
        <w:spacing w:line="360" w:lineRule="auto"/>
        <w:jc w:val="both"/>
      </w:pPr>
      <w:r>
        <w:t>No se computan las prestaciones de vivienda, seguros, vales de nafta, prestaciones de alimentación  ni la partida para transporte para el cálculo de la retención por concepto de IRPF incumpliéndose la  normativa legal vigente.</w:t>
      </w:r>
    </w:p>
    <w:p w:rsidR="004F46B3" w:rsidRDefault="004F46B3">
      <w:pPr>
        <w:spacing w:line="360" w:lineRule="auto"/>
        <w:jc w:val="both"/>
        <w:rPr>
          <w:b/>
          <w:bCs/>
        </w:rPr>
      </w:pPr>
    </w:p>
    <w:p w:rsidR="004F46B3" w:rsidRDefault="004F46B3">
      <w:pPr>
        <w:spacing w:line="360" w:lineRule="auto"/>
        <w:jc w:val="both"/>
        <w:rPr>
          <w:b/>
          <w:bCs/>
        </w:rPr>
      </w:pPr>
    </w:p>
    <w:p w:rsidR="004F46B3" w:rsidRDefault="004F46B3">
      <w:pPr>
        <w:spacing w:line="360" w:lineRule="auto"/>
        <w:jc w:val="both"/>
        <w:rPr>
          <w:b/>
          <w:bCs/>
        </w:rPr>
      </w:pPr>
      <w:r>
        <w:rPr>
          <w:b/>
          <w:bCs/>
        </w:rPr>
        <w:t xml:space="preserve">1.2.8 Horas Extras </w:t>
      </w:r>
    </w:p>
    <w:p w:rsidR="004F46B3" w:rsidRDefault="004F46B3">
      <w:pPr>
        <w:spacing w:line="360" w:lineRule="auto"/>
        <w:jc w:val="both"/>
      </w:pPr>
      <w:r>
        <w:t>No se ha gestionado aún la reglamentación de un régimen especial de horas extras de acuerdo a lo dispuesto por el Convenio 30 de la OIT.</w:t>
      </w:r>
    </w:p>
    <w:p w:rsidR="004F46B3" w:rsidRDefault="004F46B3">
      <w:pPr>
        <w:spacing w:line="360" w:lineRule="auto"/>
        <w:jc w:val="both"/>
        <w:rPr>
          <w:b/>
          <w:bCs/>
        </w:rPr>
      </w:pPr>
    </w:p>
    <w:p w:rsidR="004F46B3" w:rsidRDefault="004F46B3">
      <w:pPr>
        <w:spacing w:line="360" w:lineRule="auto"/>
        <w:jc w:val="both"/>
        <w:rPr>
          <w:b/>
          <w:bCs/>
        </w:rPr>
      </w:pPr>
      <w:r>
        <w:rPr>
          <w:b/>
          <w:bCs/>
        </w:rPr>
        <w:t>2 RECOMENDACIONES</w:t>
      </w:r>
    </w:p>
    <w:p w:rsidR="004F46B3" w:rsidRDefault="004F46B3">
      <w:pPr>
        <w:spacing w:line="360" w:lineRule="auto"/>
        <w:jc w:val="both"/>
        <w:rPr>
          <w:b/>
          <w:bCs/>
        </w:rPr>
      </w:pPr>
      <w:r>
        <w:rPr>
          <w:b/>
          <w:bCs/>
        </w:rPr>
        <w:t>2.1 Recomendaciones del Ejercicio Anterior</w:t>
      </w:r>
    </w:p>
    <w:p w:rsidR="004F46B3" w:rsidRDefault="004F46B3">
      <w:pPr>
        <w:spacing w:line="360" w:lineRule="auto"/>
        <w:jc w:val="both"/>
      </w:pPr>
      <w:r>
        <w:t>No se formularon.</w:t>
      </w:r>
    </w:p>
    <w:p w:rsidR="004F46B3" w:rsidRDefault="004F46B3">
      <w:pPr>
        <w:spacing w:line="360" w:lineRule="auto"/>
        <w:jc w:val="both"/>
        <w:rPr>
          <w:b/>
          <w:bCs/>
          <w:lang w:val="es-UY"/>
        </w:rPr>
      </w:pPr>
    </w:p>
    <w:p w:rsidR="004F46B3" w:rsidRDefault="004F46B3">
      <w:pPr>
        <w:widowControl w:val="0"/>
        <w:tabs>
          <w:tab w:val="left" w:pos="567"/>
          <w:tab w:val="left" w:pos="851"/>
        </w:tabs>
        <w:spacing w:line="360" w:lineRule="auto"/>
        <w:jc w:val="both"/>
        <w:outlineLvl w:val="1"/>
        <w:rPr>
          <w:b/>
          <w:bCs/>
          <w:kern w:val="18"/>
          <w:lang w:val="es-UY"/>
        </w:rPr>
      </w:pPr>
      <w:bookmarkStart w:id="4" w:name="_Toc279420671"/>
      <w:r>
        <w:rPr>
          <w:b/>
          <w:bCs/>
          <w:kern w:val="18"/>
          <w:lang w:val="es-UY"/>
        </w:rPr>
        <w:t>2.2 Recomendaciones del Ejercicio</w:t>
      </w:r>
      <w:bookmarkEnd w:id="4"/>
    </w:p>
    <w:p w:rsidR="004F46B3" w:rsidRDefault="004F46B3">
      <w:pPr>
        <w:widowControl w:val="0"/>
        <w:tabs>
          <w:tab w:val="left" w:pos="284"/>
          <w:tab w:val="left" w:pos="851"/>
        </w:tabs>
        <w:spacing w:line="360" w:lineRule="auto"/>
        <w:jc w:val="both"/>
        <w:outlineLvl w:val="1"/>
        <w:rPr>
          <w:b/>
          <w:bCs/>
        </w:rPr>
      </w:pPr>
      <w:r>
        <w:rPr>
          <w:b/>
          <w:bCs/>
        </w:rPr>
        <w:t>2.2.1 Documentación a Utilizar para el pago de Ayudas Económicas</w:t>
      </w:r>
    </w:p>
    <w:p w:rsidR="004F46B3" w:rsidRDefault="004F46B3">
      <w:pPr>
        <w:widowControl w:val="0"/>
        <w:tabs>
          <w:tab w:val="left" w:pos="284"/>
          <w:tab w:val="left" w:pos="851"/>
        </w:tabs>
        <w:spacing w:line="360" w:lineRule="auto"/>
        <w:jc w:val="both"/>
        <w:outlineLvl w:val="1"/>
      </w:pPr>
      <w:r>
        <w:t>La  documentación a ser utilizada por el Departamento de Ayudas Económicas dependiente de la División Atención Integral a la Familia, para documentar los pagos de ayudas económicas, deberá ser pre-impresa,  pre-numerada a los efectos de permitir un adecuado control.</w:t>
      </w:r>
    </w:p>
    <w:p w:rsidR="004F46B3" w:rsidRDefault="004F46B3">
      <w:pPr>
        <w:widowControl w:val="0"/>
        <w:tabs>
          <w:tab w:val="left" w:pos="284"/>
          <w:tab w:val="left" w:pos="851"/>
        </w:tabs>
        <w:spacing w:line="360" w:lineRule="auto"/>
        <w:jc w:val="both"/>
        <w:outlineLvl w:val="1"/>
        <w:rPr>
          <w:b/>
          <w:bCs/>
        </w:rPr>
      </w:pPr>
      <w:r>
        <w:rPr>
          <w:b/>
          <w:bCs/>
        </w:rPr>
        <w:t>2.2.2  Estados Contables</w:t>
      </w:r>
    </w:p>
    <w:p w:rsidR="004F46B3" w:rsidRDefault="004F46B3">
      <w:pPr>
        <w:widowControl w:val="0"/>
        <w:tabs>
          <w:tab w:val="left" w:pos="284"/>
          <w:tab w:val="left" w:pos="851"/>
        </w:tabs>
        <w:spacing w:line="360" w:lineRule="auto"/>
        <w:jc w:val="both"/>
        <w:outlineLvl w:val="1"/>
        <w:rPr>
          <w:b/>
          <w:bCs/>
        </w:rPr>
      </w:pPr>
      <w:r>
        <w:t>El Instituto deberá presentar los estados contables de acuerdo a lo establecido en los Artículos 96 a 99 del TOCAF y Ordenanza 81 del Tribunal de Cuentas.</w:t>
      </w:r>
    </w:p>
    <w:p w:rsidR="004F46B3" w:rsidRDefault="004F46B3">
      <w:pPr>
        <w:widowControl w:val="0"/>
        <w:tabs>
          <w:tab w:val="left" w:pos="284"/>
          <w:tab w:val="left" w:pos="851"/>
        </w:tabs>
        <w:spacing w:line="360" w:lineRule="auto"/>
        <w:jc w:val="both"/>
        <w:outlineLvl w:val="1"/>
        <w:rPr>
          <w:b/>
          <w:bCs/>
        </w:rPr>
      </w:pPr>
      <w:r>
        <w:rPr>
          <w:b/>
          <w:bCs/>
        </w:rPr>
        <w:t>2.2.3</w:t>
      </w:r>
      <w:r>
        <w:t xml:space="preserve">  </w:t>
      </w:r>
      <w:r>
        <w:rPr>
          <w:b/>
          <w:bCs/>
        </w:rPr>
        <w:t>Partidas No Ejecutadas al Cierre del Ejercicio</w:t>
      </w:r>
    </w:p>
    <w:p w:rsidR="004F46B3" w:rsidRDefault="004F46B3">
      <w:pPr>
        <w:widowControl w:val="0"/>
        <w:tabs>
          <w:tab w:val="left" w:pos="284"/>
          <w:tab w:val="left" w:pos="851"/>
        </w:tabs>
        <w:spacing w:line="360" w:lineRule="auto"/>
        <w:jc w:val="both"/>
        <w:outlineLvl w:val="1"/>
      </w:pPr>
      <w:r>
        <w:t>Las partidas no ejecutadas al cierre del Ejercicio por el Departamento de Apoyo Socio Económico deberán ser devueltas a Rentas Generales.</w:t>
      </w:r>
    </w:p>
    <w:p w:rsidR="004F46B3" w:rsidRDefault="004F46B3">
      <w:pPr>
        <w:widowControl w:val="0"/>
        <w:tabs>
          <w:tab w:val="left" w:pos="284"/>
          <w:tab w:val="left" w:pos="851"/>
        </w:tabs>
        <w:spacing w:line="360" w:lineRule="auto"/>
        <w:jc w:val="both"/>
        <w:outlineLvl w:val="1"/>
        <w:rPr>
          <w:b/>
          <w:bCs/>
        </w:rPr>
      </w:pPr>
      <w:r>
        <w:rPr>
          <w:b/>
          <w:bCs/>
        </w:rPr>
        <w:t>2.2.4 Imputación de los Gastos a los Objetos de Gastos</w:t>
      </w:r>
    </w:p>
    <w:p w:rsidR="004F46B3" w:rsidRDefault="004F46B3">
      <w:pPr>
        <w:widowControl w:val="0"/>
        <w:tabs>
          <w:tab w:val="left" w:pos="284"/>
          <w:tab w:val="left" w:pos="851"/>
        </w:tabs>
        <w:spacing w:line="360" w:lineRule="auto"/>
        <w:jc w:val="both"/>
        <w:outlineLvl w:val="1"/>
      </w:pPr>
      <w:r>
        <w:t>Las transferencias a la Corporación Nacional para el D</w:t>
      </w:r>
      <w:bookmarkStart w:id="5" w:name="_GoBack"/>
      <w:bookmarkEnd w:id="5"/>
      <w:r>
        <w:t>esarrollo deberán imputarse a los objetos de gasto específicos 500 a 599.</w:t>
      </w:r>
    </w:p>
    <w:p w:rsidR="004F46B3" w:rsidRDefault="004F46B3">
      <w:pPr>
        <w:widowControl w:val="0"/>
        <w:tabs>
          <w:tab w:val="left" w:pos="284"/>
          <w:tab w:val="left" w:pos="851"/>
        </w:tabs>
        <w:spacing w:line="360" w:lineRule="auto"/>
        <w:jc w:val="both"/>
        <w:outlineLvl w:val="1"/>
        <w:rPr>
          <w:b/>
          <w:bCs/>
        </w:rPr>
      </w:pPr>
      <w:r>
        <w:rPr>
          <w:b/>
          <w:bCs/>
        </w:rPr>
        <w:t>2.2.5 Recursos Creados por el Artículo 8 de la Ley 10853</w:t>
      </w:r>
    </w:p>
    <w:p w:rsidR="004F46B3" w:rsidRDefault="004F46B3">
      <w:pPr>
        <w:widowControl w:val="0"/>
        <w:tabs>
          <w:tab w:val="left" w:pos="284"/>
          <w:tab w:val="left" w:pos="851"/>
        </w:tabs>
        <w:spacing w:line="360" w:lineRule="auto"/>
        <w:jc w:val="both"/>
        <w:outlineLvl w:val="1"/>
      </w:pPr>
      <w:r>
        <w:t>Deberán establecerse procedimientos para el control de la versión de los recursos creado por dicha norma.</w:t>
      </w:r>
    </w:p>
    <w:p w:rsidR="004F46B3" w:rsidRDefault="004F46B3">
      <w:pPr>
        <w:widowControl w:val="0"/>
        <w:tabs>
          <w:tab w:val="left" w:pos="284"/>
          <w:tab w:val="left" w:pos="851"/>
        </w:tabs>
        <w:spacing w:line="360" w:lineRule="auto"/>
        <w:jc w:val="both"/>
        <w:outlineLvl w:val="1"/>
      </w:pPr>
    </w:p>
    <w:p w:rsidR="004F46B3" w:rsidRDefault="004F46B3">
      <w:pPr>
        <w:widowControl w:val="0"/>
        <w:tabs>
          <w:tab w:val="left" w:pos="284"/>
          <w:tab w:val="left" w:pos="851"/>
        </w:tabs>
        <w:spacing w:line="360" w:lineRule="auto"/>
        <w:jc w:val="both"/>
        <w:outlineLvl w:val="1"/>
        <w:rPr>
          <w:b/>
          <w:bCs/>
        </w:rPr>
      </w:pPr>
      <w:r>
        <w:rPr>
          <w:b/>
          <w:bCs/>
        </w:rPr>
        <w:t>2.3.6 Aportes al Banco de Previsión Social</w:t>
      </w:r>
    </w:p>
    <w:p w:rsidR="004F46B3" w:rsidRDefault="004F46B3">
      <w:pPr>
        <w:widowControl w:val="0"/>
        <w:tabs>
          <w:tab w:val="left" w:pos="284"/>
          <w:tab w:val="left" w:pos="851"/>
        </w:tabs>
        <w:spacing w:line="360" w:lineRule="auto"/>
        <w:jc w:val="both"/>
        <w:outlineLvl w:val="1"/>
      </w:pPr>
      <w:r>
        <w:t>Deberán incluirse las prestaciones de vivienda en la base de cálculo para determinar los aportes a realizar al Banco de Previsión Social.</w:t>
      </w:r>
    </w:p>
    <w:p w:rsidR="004F46B3" w:rsidRDefault="004F46B3">
      <w:pPr>
        <w:widowControl w:val="0"/>
        <w:tabs>
          <w:tab w:val="left" w:pos="284"/>
          <w:tab w:val="left" w:pos="851"/>
        </w:tabs>
        <w:spacing w:line="360" w:lineRule="auto"/>
        <w:jc w:val="both"/>
        <w:outlineLvl w:val="1"/>
        <w:rPr>
          <w:b/>
          <w:bCs/>
        </w:rPr>
      </w:pPr>
      <w:r>
        <w:rPr>
          <w:b/>
          <w:bCs/>
        </w:rPr>
        <w:t>2.3.7 Retenciones de IRPF</w:t>
      </w:r>
    </w:p>
    <w:p w:rsidR="004F46B3" w:rsidRDefault="004F46B3">
      <w:pPr>
        <w:widowControl w:val="0"/>
        <w:tabs>
          <w:tab w:val="left" w:pos="284"/>
          <w:tab w:val="left" w:pos="851"/>
        </w:tabs>
        <w:spacing w:line="360" w:lineRule="auto"/>
        <w:jc w:val="both"/>
        <w:outlineLvl w:val="1"/>
      </w:pPr>
      <w:r>
        <w:t xml:space="preserve">Las prestaciones de vivienda, seguros, vales de nafta, prestaciones por alimentación y partida para transporte deberán ser consideradas a los efectos del cálculo de las retenciones por IRPF. </w:t>
      </w:r>
    </w:p>
    <w:p w:rsidR="004F46B3" w:rsidRDefault="004F46B3">
      <w:pPr>
        <w:widowControl w:val="0"/>
        <w:tabs>
          <w:tab w:val="left" w:pos="284"/>
          <w:tab w:val="left" w:pos="851"/>
        </w:tabs>
        <w:spacing w:line="360" w:lineRule="auto"/>
        <w:jc w:val="both"/>
        <w:outlineLvl w:val="1"/>
        <w:rPr>
          <w:b/>
          <w:bCs/>
        </w:rPr>
      </w:pPr>
      <w:r>
        <w:rPr>
          <w:b/>
          <w:bCs/>
        </w:rPr>
        <w:t>2.3.8 Horas Extras</w:t>
      </w:r>
    </w:p>
    <w:p w:rsidR="004F46B3" w:rsidRDefault="004F46B3">
      <w:pPr>
        <w:widowControl w:val="0"/>
        <w:tabs>
          <w:tab w:val="left" w:pos="284"/>
          <w:tab w:val="left" w:pos="851"/>
        </w:tabs>
        <w:spacing w:line="360" w:lineRule="auto"/>
        <w:jc w:val="both"/>
        <w:outlineLvl w:val="1"/>
      </w:pPr>
      <w:r>
        <w:t>Deberá gestionarse por la reglamentación de un régimen especial de horas en cumplimiento de lo dispuesto por el Convenio 30 de  la OIT.</w:t>
      </w:r>
    </w:p>
    <w:p w:rsidR="004F46B3" w:rsidRDefault="004F46B3">
      <w:pPr>
        <w:widowControl w:val="0"/>
        <w:tabs>
          <w:tab w:val="left" w:pos="284"/>
          <w:tab w:val="left" w:pos="851"/>
        </w:tabs>
        <w:spacing w:line="360" w:lineRule="auto"/>
        <w:jc w:val="both"/>
        <w:outlineLvl w:val="1"/>
      </w:pPr>
    </w:p>
    <w:p w:rsidR="004F46B3" w:rsidRDefault="004F46B3">
      <w:pPr>
        <w:widowControl w:val="0"/>
        <w:tabs>
          <w:tab w:val="left" w:pos="284"/>
          <w:tab w:val="left" w:pos="851"/>
        </w:tabs>
        <w:spacing w:line="360" w:lineRule="auto"/>
        <w:jc w:val="both"/>
        <w:outlineLvl w:val="1"/>
      </w:pPr>
    </w:p>
    <w:sectPr w:rsidR="004F46B3" w:rsidSect="004F46B3">
      <w:footerReference w:type="default" r:id="rId6"/>
      <w:pgSz w:w="11906" w:h="16838" w:code="9"/>
      <w:pgMar w:top="3289" w:right="1701" w:bottom="1134" w:left="1701" w:header="709" w:footer="709" w:gutter="0"/>
      <w:paperSrc w:first="4" w:other="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46B3" w:rsidRDefault="004F46B3">
      <w:pPr>
        <w:rPr>
          <w:rFonts w:ascii="Times New Roman" w:hAnsi="Times New Roman" w:cs="Times New Roman"/>
        </w:rPr>
      </w:pPr>
      <w:r>
        <w:rPr>
          <w:rFonts w:ascii="Times New Roman" w:hAnsi="Times New Roman" w:cs="Times New Roman"/>
        </w:rPr>
        <w:separator/>
      </w:r>
    </w:p>
  </w:endnote>
  <w:endnote w:type="continuationSeparator" w:id="0">
    <w:p w:rsidR="004F46B3" w:rsidRDefault="004F46B3">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Roman PS">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6B3" w:rsidRDefault="004F46B3">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noProof/>
      </w:rPr>
      <w:t>8</w:t>
    </w:r>
    <w:r>
      <w:rPr>
        <w:rFonts w:ascii="Times New Roman" w:hAnsi="Times New Roman" w:cs="Times New Roman"/>
      </w:rPr>
      <w:fldChar w:fldCharType="end"/>
    </w:r>
  </w:p>
  <w:p w:rsidR="004F46B3" w:rsidRDefault="004F46B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46B3" w:rsidRDefault="004F46B3">
      <w:pPr>
        <w:rPr>
          <w:rFonts w:ascii="Times New Roman" w:hAnsi="Times New Roman" w:cs="Times New Roman"/>
        </w:rPr>
      </w:pPr>
      <w:r>
        <w:rPr>
          <w:rFonts w:ascii="Times New Roman" w:hAnsi="Times New Roman" w:cs="Times New Roman"/>
        </w:rPr>
        <w:separator/>
      </w:r>
    </w:p>
  </w:footnote>
  <w:footnote w:type="continuationSeparator" w:id="0">
    <w:p w:rsidR="004F46B3" w:rsidRDefault="004F46B3">
      <w:pPr>
        <w:rPr>
          <w:rFonts w:ascii="Times New Roman" w:hAnsi="Times New Roman" w:cs="Times New Roman"/>
        </w:rPr>
      </w:pPr>
      <w:r>
        <w:rPr>
          <w:rFonts w:ascii="Times New Roman" w:hAnsi="Times New Roman"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F46B3"/>
    <w:rsid w:val="004F46B3"/>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3"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rPr>
  </w:style>
  <w:style w:type="paragraph" w:styleId="Heading1">
    <w:name w:val="heading 1"/>
    <w:basedOn w:val="Normal"/>
    <w:next w:val="Normal"/>
    <w:link w:val="Heading1Char"/>
    <w:uiPriority w:val="99"/>
    <w:qFormat/>
    <w:pPr>
      <w:keepNext/>
      <w:jc w:val="both"/>
      <w:outlineLvl w:val="0"/>
    </w:pPr>
    <w:rPr>
      <w:b/>
      <w:bCs/>
    </w:rPr>
  </w:style>
  <w:style w:type="paragraph" w:styleId="Heading2">
    <w:name w:val="heading 2"/>
    <w:basedOn w:val="Normal"/>
    <w:next w:val="Normal"/>
    <w:link w:val="Heading2Char"/>
    <w:uiPriority w:val="99"/>
    <w:qFormat/>
    <w:pPr>
      <w:keepNext/>
      <w:tabs>
        <w:tab w:val="center" w:pos="4253"/>
      </w:tabs>
      <w:suppressAutoHyphens/>
      <w:jc w:val="center"/>
      <w:outlineLvl w:val="1"/>
    </w:pPr>
    <w:rPr>
      <w:b/>
      <w:bCs/>
      <w:lang w:val="es-ES_tradnl"/>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Arial" w:hAnsi="Arial" w:cs="Arial"/>
      <w:b/>
      <w:bCs/>
      <w:sz w:val="24"/>
      <w:szCs w:val="24"/>
      <w:lang w:val="es-ES" w:eastAsia="es-ES"/>
    </w:rPr>
  </w:style>
  <w:style w:type="character" w:customStyle="1" w:styleId="Heading2Char">
    <w:name w:val="Heading 2 Char"/>
    <w:basedOn w:val="DefaultParagraphFont"/>
    <w:link w:val="Heading2"/>
    <w:uiPriority w:val="9"/>
    <w:semiHidden/>
    <w:rsid w:val="004F46B3"/>
    <w:rPr>
      <w:rFonts w:asciiTheme="majorHAnsi" w:eastAsiaTheme="majorEastAsia" w:hAnsiTheme="majorHAnsi" w:cstheme="majorBidi"/>
      <w:b/>
      <w:bCs/>
      <w:i/>
      <w:iCs/>
      <w:sz w:val="28"/>
      <w:szCs w:val="28"/>
    </w:rPr>
  </w:style>
  <w:style w:type="paragraph" w:styleId="BodyText">
    <w:name w:val="Body Text"/>
    <w:basedOn w:val="Normal"/>
    <w:link w:val="BodyTextChar"/>
    <w:uiPriority w:val="99"/>
    <w:pPr>
      <w:spacing w:line="360" w:lineRule="auto"/>
      <w:jc w:val="both"/>
    </w:pPr>
  </w:style>
  <w:style w:type="character" w:customStyle="1" w:styleId="BodyTextChar">
    <w:name w:val="Body Text Char"/>
    <w:basedOn w:val="DefaultParagraphFont"/>
    <w:link w:val="BodyText"/>
    <w:uiPriority w:val="99"/>
    <w:rPr>
      <w:rFonts w:ascii="Arial" w:hAnsi="Arial" w:cs="Arial"/>
      <w:sz w:val="24"/>
      <w:szCs w:val="24"/>
      <w:lang w:val="es-ES" w:eastAsia="es-ES"/>
    </w:rPr>
  </w:style>
  <w:style w:type="paragraph" w:styleId="Header">
    <w:name w:val="header"/>
    <w:basedOn w:val="Normal"/>
    <w:link w:val="HeaderChar"/>
    <w:uiPriority w:val="99"/>
    <w:pPr>
      <w:tabs>
        <w:tab w:val="center" w:pos="4252"/>
        <w:tab w:val="right" w:pos="8504"/>
      </w:tabs>
    </w:pPr>
  </w:style>
  <w:style w:type="character" w:customStyle="1" w:styleId="HeaderChar">
    <w:name w:val="Header Char"/>
    <w:basedOn w:val="DefaultParagraphFont"/>
    <w:link w:val="Header"/>
    <w:uiPriority w:val="99"/>
    <w:rPr>
      <w:rFonts w:ascii="Arial" w:hAnsi="Arial" w:cs="Arial"/>
      <w:sz w:val="24"/>
      <w:szCs w:val="24"/>
      <w:lang w:val="es-ES" w:eastAsia="es-ES"/>
    </w:rPr>
  </w:style>
  <w:style w:type="paragraph" w:styleId="Footer">
    <w:name w:val="footer"/>
    <w:basedOn w:val="Normal"/>
    <w:link w:val="FooterChar"/>
    <w:uiPriority w:val="99"/>
    <w:pPr>
      <w:tabs>
        <w:tab w:val="center" w:pos="4252"/>
        <w:tab w:val="right" w:pos="8504"/>
      </w:tabs>
    </w:pPr>
  </w:style>
  <w:style w:type="character" w:customStyle="1" w:styleId="FooterChar">
    <w:name w:val="Footer Char"/>
    <w:basedOn w:val="DefaultParagraphFont"/>
    <w:link w:val="Footer"/>
    <w:uiPriority w:val="99"/>
    <w:rPr>
      <w:rFonts w:ascii="Arial" w:hAnsi="Arial" w:cs="Arial"/>
      <w:sz w:val="24"/>
      <w:szCs w:val="24"/>
      <w:lang w:val="es-ES" w:eastAsia="es-ES"/>
    </w:rPr>
  </w:style>
  <w:style w:type="paragraph" w:styleId="Title">
    <w:name w:val="Title"/>
    <w:basedOn w:val="Normal"/>
    <w:link w:val="TitleChar"/>
    <w:uiPriority w:val="99"/>
    <w:qFormat/>
    <w:pPr>
      <w:spacing w:line="360" w:lineRule="auto"/>
      <w:jc w:val="center"/>
    </w:pPr>
    <w:rPr>
      <w:b/>
      <w:bCs/>
    </w:rPr>
  </w:style>
  <w:style w:type="character" w:customStyle="1" w:styleId="TitleChar">
    <w:name w:val="Title Char"/>
    <w:basedOn w:val="DefaultParagraphFont"/>
    <w:link w:val="Title"/>
    <w:uiPriority w:val="10"/>
    <w:rsid w:val="004F46B3"/>
    <w:rPr>
      <w:rFonts w:asciiTheme="majorHAnsi" w:eastAsiaTheme="majorEastAsia" w:hAnsiTheme="majorHAnsi" w:cstheme="majorBidi"/>
      <w:b/>
      <w:bCs/>
      <w:kern w:val="28"/>
      <w:sz w:val="32"/>
      <w:szCs w:val="32"/>
    </w:rPr>
  </w:style>
  <w:style w:type="paragraph" w:styleId="BodyText3">
    <w:name w:val="Body Text 3"/>
    <w:basedOn w:val="Normal"/>
    <w:link w:val="BodyText3Char"/>
    <w:uiPriority w:val="99"/>
    <w:pPr>
      <w:widowControl w:val="0"/>
      <w:suppressAutoHyphens/>
      <w:jc w:val="both"/>
    </w:pPr>
    <w:rPr>
      <w:rFonts w:ascii="Roman PS" w:hAnsi="Roman PS" w:cs="Roman PS"/>
      <w:spacing w:val="-3"/>
      <w:lang w:val="es-ES_tradnl"/>
    </w:rPr>
  </w:style>
  <w:style w:type="character" w:customStyle="1" w:styleId="BodyText3Char">
    <w:name w:val="Body Text 3 Char"/>
    <w:basedOn w:val="DefaultParagraphFont"/>
    <w:link w:val="BodyText3"/>
    <w:uiPriority w:val="99"/>
    <w:semiHidden/>
    <w:rsid w:val="004F46B3"/>
    <w:rPr>
      <w:rFonts w:ascii="Arial" w:hAnsi="Arial" w:cs="Arial"/>
      <w:sz w:val="16"/>
      <w:szCs w:val="16"/>
    </w:rPr>
  </w:style>
  <w:style w:type="paragraph" w:styleId="BodyTextIndent">
    <w:name w:val="Body Text Indent"/>
    <w:basedOn w:val="Normal"/>
    <w:link w:val="BodyTextIndentChar"/>
    <w:uiPriority w:val="99"/>
    <w:pPr>
      <w:spacing w:line="360" w:lineRule="auto"/>
      <w:ind w:left="360" w:hanging="360"/>
      <w:jc w:val="both"/>
    </w:pPr>
  </w:style>
  <w:style w:type="character" w:customStyle="1" w:styleId="BodyTextIndentChar">
    <w:name w:val="Body Text Indent Char"/>
    <w:basedOn w:val="DefaultParagraphFont"/>
    <w:link w:val="BodyTextIndent"/>
    <w:uiPriority w:val="99"/>
    <w:semiHidden/>
    <w:rsid w:val="004F46B3"/>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8</Pages>
  <Words>1680</Words>
  <Characters>9581</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ADOPTADA POR EL</dc:title>
  <dc:subject/>
  <dc:creator>Lenovo User</dc:creator>
  <cp:keywords/>
  <dc:description/>
  <cp:lastModifiedBy>Tribunal1</cp:lastModifiedBy>
  <cp:revision>2</cp:revision>
  <cp:lastPrinted>2013-12-10T11:26:00Z</cp:lastPrinted>
  <dcterms:created xsi:type="dcterms:W3CDTF">2013-12-20T15:56:00Z</dcterms:created>
  <dcterms:modified xsi:type="dcterms:W3CDTF">2013-12-20T15:56:00Z</dcterms:modified>
</cp:coreProperties>
</file>