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5D" w:rsidRDefault="0073645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73645D" w:rsidRDefault="0073645D">
      <w:pPr>
        <w:tabs>
          <w:tab w:val="left" w:pos="-720"/>
        </w:tabs>
        <w:suppressAutoHyphens/>
        <w:jc w:val="center"/>
        <w:rPr>
          <w:rFonts w:ascii="Helvetica" w:hAnsi="Helvetica"/>
          <w:b/>
          <w:lang w:val="es-ES_tradnl"/>
        </w:rPr>
      </w:pPr>
    </w:p>
    <w:p w:rsidR="0073645D" w:rsidRDefault="0073645D">
      <w:pPr>
        <w:tabs>
          <w:tab w:val="center" w:pos="4253"/>
        </w:tabs>
        <w:suppressAutoHyphens/>
        <w:jc w:val="center"/>
        <w:rPr>
          <w:rFonts w:ascii="Helvetica" w:hAnsi="Helvetica"/>
          <w:b/>
          <w:lang w:val="es-ES_tradnl"/>
        </w:rPr>
      </w:pPr>
      <w:r>
        <w:rPr>
          <w:rFonts w:ascii="Helvetica" w:hAnsi="Helvetica"/>
          <w:b/>
          <w:lang w:val="es-ES_tradnl"/>
        </w:rPr>
        <w:t>TRIBUNAL DE CUENTAS</w:t>
      </w:r>
    </w:p>
    <w:p w:rsidR="0073645D" w:rsidRDefault="0073645D">
      <w:pPr>
        <w:tabs>
          <w:tab w:val="left" w:pos="-720"/>
        </w:tabs>
        <w:suppressAutoHyphens/>
        <w:jc w:val="center"/>
        <w:rPr>
          <w:rFonts w:ascii="Helvetica" w:hAnsi="Helvetica"/>
          <w:b/>
          <w:lang w:val="es-ES_tradnl"/>
        </w:rPr>
      </w:pPr>
    </w:p>
    <w:p w:rsidR="0073645D" w:rsidRDefault="0073645D">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73645D" w:rsidRDefault="0073645D">
      <w:pPr>
        <w:tabs>
          <w:tab w:val="center" w:pos="4253"/>
        </w:tabs>
        <w:suppressAutoHyphens/>
        <w:jc w:val="center"/>
        <w:rPr>
          <w:rFonts w:ascii="Helvetica" w:hAnsi="Helvetica"/>
          <w:b/>
          <w:lang w:val="es-ES_tradnl"/>
        </w:rPr>
      </w:pPr>
    </w:p>
    <w:p w:rsidR="0073645D" w:rsidRPr="0073645D" w:rsidRDefault="0073645D">
      <w:pPr>
        <w:tabs>
          <w:tab w:val="center" w:pos="4253"/>
        </w:tabs>
        <w:suppressAutoHyphens/>
        <w:jc w:val="center"/>
        <w:rPr>
          <w:rFonts w:ascii="Helvetica" w:hAnsi="Helvetica"/>
          <w:b/>
          <w:lang w:val="es-UY"/>
        </w:rPr>
      </w:pPr>
      <w:r w:rsidRPr="0073645D">
        <w:rPr>
          <w:rFonts w:ascii="Helvetica" w:hAnsi="Helvetica"/>
          <w:b/>
          <w:lang w:val="es-UY"/>
        </w:rPr>
        <w:t xml:space="preserve">(E. E. Nº 2013-17-1-0006857, </w:t>
      </w:r>
      <w:proofErr w:type="spellStart"/>
      <w:r w:rsidRPr="0073645D">
        <w:rPr>
          <w:rFonts w:ascii="Helvetica" w:hAnsi="Helvetica"/>
          <w:b/>
          <w:lang w:val="es-UY"/>
        </w:rPr>
        <w:t>Ent</w:t>
      </w:r>
      <w:proofErr w:type="spellEnd"/>
      <w:r w:rsidRPr="0073645D">
        <w:rPr>
          <w:rFonts w:ascii="Helvetica" w:hAnsi="Helvetica"/>
          <w:b/>
          <w:lang w:val="es-UY"/>
        </w:rPr>
        <w:t>. N° 5939/13.)</w:t>
      </w:r>
    </w:p>
    <w:p w:rsidR="0073645D" w:rsidRPr="0073645D" w:rsidRDefault="0073645D">
      <w:pPr>
        <w:tabs>
          <w:tab w:val="center" w:pos="4253"/>
        </w:tabs>
        <w:suppressAutoHyphens/>
        <w:jc w:val="center"/>
        <w:rPr>
          <w:spacing w:val="-3"/>
          <w:lang w:val="es-UY"/>
        </w:rPr>
      </w:pPr>
    </w:p>
    <w:p w:rsidR="008044C8" w:rsidRDefault="008044C8" w:rsidP="0073645D">
      <w:pPr>
        <w:spacing w:line="360" w:lineRule="auto"/>
        <w:ind w:firstLine="708"/>
        <w:jc w:val="both"/>
      </w:pPr>
      <w:r>
        <w:rPr>
          <w:b/>
          <w:bCs/>
        </w:rPr>
        <w:t xml:space="preserve">VISTO: </w:t>
      </w:r>
      <w:r>
        <w:t>las actuaciones remitidas por la Intendencia de</w:t>
      </w:r>
      <w:r w:rsidR="00D777FB">
        <w:t xml:space="preserve"> Maldonado, relacionadas con </w:t>
      </w:r>
      <w:r w:rsidR="00490C1D">
        <w:t xml:space="preserve">el procedimiento competitivo entablado posteriormente a la </w:t>
      </w:r>
      <w:r w:rsidR="00D01834">
        <w:t xml:space="preserve">fallida </w:t>
      </w:r>
      <w:r>
        <w:t xml:space="preserve">Licitación Abreviada Nº </w:t>
      </w:r>
      <w:r w:rsidR="008D5B10">
        <w:t>20/13</w:t>
      </w:r>
      <w:r w:rsidR="00490C1D">
        <w:t xml:space="preserve">, </w:t>
      </w:r>
      <w:r>
        <w:t xml:space="preserve">para la </w:t>
      </w:r>
      <w:r w:rsidR="0007097C">
        <w:t>concesión de la c</w:t>
      </w:r>
      <w:r w:rsidR="00547DD8">
        <w:t xml:space="preserve">onstrucción y </w:t>
      </w:r>
      <w:r w:rsidR="00547DD8" w:rsidRPr="000C2E32">
        <w:rPr>
          <w:spacing w:val="-6"/>
        </w:rPr>
        <w:t>explotación comercial de dos quioscos de venta de alimentos en Parque La</w:t>
      </w:r>
      <w:r w:rsidR="00547DD8">
        <w:t xml:space="preserve"> Loma;</w:t>
      </w:r>
    </w:p>
    <w:p w:rsidR="00E721AC" w:rsidRDefault="00E721AC" w:rsidP="0073645D">
      <w:pPr>
        <w:spacing w:line="360" w:lineRule="auto"/>
        <w:ind w:firstLine="708"/>
        <w:jc w:val="both"/>
        <w:rPr>
          <w:bCs/>
        </w:rPr>
      </w:pPr>
      <w:r>
        <w:rPr>
          <w:b/>
          <w:bCs/>
        </w:rPr>
        <w:t xml:space="preserve">RESULTANDO: 1) </w:t>
      </w:r>
      <w:r w:rsidR="00AE5774">
        <w:rPr>
          <w:bCs/>
        </w:rPr>
        <w:t xml:space="preserve">que con fecha 11.04.13 el Asesor de la Dirección General de Hacienda, autorizó a la Mesa de Licitaciones y Adjudicaciones a efectuar el llamado a licitación abreviada en análisis; </w:t>
      </w:r>
    </w:p>
    <w:p w:rsidR="00AE5774" w:rsidRDefault="00AE5774" w:rsidP="0073645D">
      <w:pPr>
        <w:tabs>
          <w:tab w:val="left" w:pos="1843"/>
        </w:tabs>
        <w:spacing w:line="360" w:lineRule="auto"/>
        <w:ind w:firstLine="2552"/>
        <w:jc w:val="both"/>
        <w:rPr>
          <w:bCs/>
        </w:rPr>
      </w:pPr>
      <w:r w:rsidRPr="00AE5774">
        <w:rPr>
          <w:b/>
          <w:bCs/>
        </w:rPr>
        <w:t>2)</w:t>
      </w:r>
      <w:r>
        <w:rPr>
          <w:b/>
          <w:bCs/>
        </w:rPr>
        <w:t xml:space="preserve"> </w:t>
      </w:r>
      <w:r w:rsidRPr="00AE5774">
        <w:rPr>
          <w:b/>
          <w:bCs/>
        </w:rPr>
        <w:t xml:space="preserve"> </w:t>
      </w:r>
      <w:r w:rsidR="003F66B8">
        <w:rPr>
          <w:bCs/>
        </w:rPr>
        <w:t>que con fecha 09.05.13 se realizó publicidad del llamado en el sitio web de Compras y Contrataciones Estatales y el 11.05.13  en la revista Contacto. Asimismo se enviaron varias invitaciones con fecha 25.04.13;</w:t>
      </w:r>
    </w:p>
    <w:p w:rsidR="00C97E3E" w:rsidRPr="00C97E3E" w:rsidRDefault="00C97E3E" w:rsidP="0073645D">
      <w:pPr>
        <w:tabs>
          <w:tab w:val="left" w:pos="1843"/>
        </w:tabs>
        <w:spacing w:line="360" w:lineRule="auto"/>
        <w:ind w:firstLine="2552"/>
        <w:jc w:val="both"/>
        <w:rPr>
          <w:bCs/>
        </w:rPr>
      </w:pPr>
      <w:r w:rsidRPr="00C97E3E">
        <w:rPr>
          <w:b/>
          <w:bCs/>
        </w:rPr>
        <w:t>3)</w:t>
      </w:r>
      <w:r>
        <w:rPr>
          <w:b/>
          <w:bCs/>
        </w:rPr>
        <w:t xml:space="preserve"> </w:t>
      </w:r>
      <w:r>
        <w:rPr>
          <w:bCs/>
        </w:rPr>
        <w:t xml:space="preserve">que el Pliego de Condiciones en su </w:t>
      </w:r>
      <w:r w:rsidR="002764CE">
        <w:rPr>
          <w:bCs/>
        </w:rPr>
        <w:t>cláusula 13) exige que conjuntamente con la oferta se deberá agregar</w:t>
      </w:r>
      <w:r w:rsidR="00C7545C">
        <w:rPr>
          <w:bCs/>
        </w:rPr>
        <w:t>: documentación que acredite tener contratado el seguro de accidentes de trabajo con el BSE (</w:t>
      </w:r>
      <w:r w:rsidR="0073645D">
        <w:rPr>
          <w:bCs/>
        </w:rPr>
        <w:t>L</w:t>
      </w:r>
      <w:r w:rsidR="00C7545C">
        <w:rPr>
          <w:bCs/>
        </w:rPr>
        <w:t xml:space="preserve">iteral </w:t>
      </w:r>
      <w:r w:rsidR="0073645D">
        <w:rPr>
          <w:bCs/>
        </w:rPr>
        <w:t>B</w:t>
      </w:r>
      <w:r w:rsidR="00C7545C">
        <w:rPr>
          <w:bCs/>
        </w:rPr>
        <w:t>),</w:t>
      </w:r>
      <w:r w:rsidR="002764CE">
        <w:rPr>
          <w:bCs/>
        </w:rPr>
        <w:t xml:space="preserve"> </w:t>
      </w:r>
      <w:r w:rsidR="00EE1911">
        <w:rPr>
          <w:bCs/>
        </w:rPr>
        <w:t xml:space="preserve">en caso de que </w:t>
      </w:r>
      <w:r w:rsidR="00EE1911" w:rsidRPr="00EE1911">
        <w:rPr>
          <w:bCs/>
        </w:rPr>
        <w:t>el oferente sea persona jurídica habilitada para</w:t>
      </w:r>
      <w:r w:rsidR="00504202">
        <w:rPr>
          <w:bCs/>
        </w:rPr>
        <w:t xml:space="preserve"> participar de</w:t>
      </w:r>
      <w:r w:rsidR="00EE1911" w:rsidRPr="00EE1911">
        <w:rPr>
          <w:bCs/>
        </w:rPr>
        <w:t xml:space="preserve"> </w:t>
      </w:r>
      <w:r w:rsidR="004A7A50">
        <w:rPr>
          <w:bCs/>
        </w:rPr>
        <w:t xml:space="preserve">la </w:t>
      </w:r>
      <w:r w:rsidR="00EE1911" w:rsidRPr="00EE1911">
        <w:rPr>
          <w:bCs/>
        </w:rPr>
        <w:t>licitación</w:t>
      </w:r>
      <w:r w:rsidR="00EE1911">
        <w:rPr>
          <w:bCs/>
        </w:rPr>
        <w:t>, certificación nota</w:t>
      </w:r>
      <w:r w:rsidR="00504202">
        <w:rPr>
          <w:bCs/>
        </w:rPr>
        <w:t>rial que acredite dicho extremo (</w:t>
      </w:r>
      <w:r w:rsidR="0073645D">
        <w:rPr>
          <w:bCs/>
        </w:rPr>
        <w:t>L</w:t>
      </w:r>
      <w:r w:rsidR="00504202">
        <w:rPr>
          <w:bCs/>
        </w:rPr>
        <w:t xml:space="preserve">iteral </w:t>
      </w:r>
      <w:r w:rsidR="0073645D">
        <w:rPr>
          <w:bCs/>
        </w:rPr>
        <w:t>C</w:t>
      </w:r>
      <w:r w:rsidR="00504202">
        <w:rPr>
          <w:bCs/>
        </w:rPr>
        <w:t xml:space="preserve">) y, recibo original de compra de pliego a nombre del oferente </w:t>
      </w:r>
      <w:r w:rsidR="0073645D">
        <w:rPr>
          <w:bCs/>
        </w:rPr>
        <w:t>L</w:t>
      </w:r>
      <w:r w:rsidR="00504202">
        <w:rPr>
          <w:bCs/>
        </w:rPr>
        <w:t xml:space="preserve">iteral </w:t>
      </w:r>
      <w:r w:rsidR="0073645D">
        <w:rPr>
          <w:bCs/>
        </w:rPr>
        <w:t>E</w:t>
      </w:r>
      <w:r w:rsidR="00504202">
        <w:rPr>
          <w:bCs/>
        </w:rPr>
        <w:t>);</w:t>
      </w:r>
    </w:p>
    <w:p w:rsidR="00343FAE" w:rsidRDefault="00C97E3E" w:rsidP="0073645D">
      <w:pPr>
        <w:tabs>
          <w:tab w:val="left" w:pos="1843"/>
        </w:tabs>
        <w:spacing w:line="360" w:lineRule="auto"/>
        <w:ind w:firstLine="2552"/>
        <w:jc w:val="both"/>
        <w:rPr>
          <w:bCs/>
        </w:rPr>
      </w:pPr>
      <w:r w:rsidRPr="00C97E3E">
        <w:rPr>
          <w:b/>
          <w:bCs/>
        </w:rPr>
        <w:t>4</w:t>
      </w:r>
      <w:r w:rsidR="00343FAE" w:rsidRPr="00C97E3E">
        <w:rPr>
          <w:b/>
          <w:bCs/>
        </w:rPr>
        <w:t>)</w:t>
      </w:r>
      <w:r w:rsidR="00343FAE">
        <w:rPr>
          <w:b/>
          <w:bCs/>
        </w:rPr>
        <w:t xml:space="preserve"> </w:t>
      </w:r>
      <w:r w:rsidR="00343FAE">
        <w:rPr>
          <w:bCs/>
        </w:rPr>
        <w:t xml:space="preserve">que ante la falta de presentación de ofertas al acto </w:t>
      </w:r>
      <w:r w:rsidR="00343FAE" w:rsidRPr="0073645D">
        <w:rPr>
          <w:bCs/>
          <w:spacing w:val="6"/>
        </w:rPr>
        <w:t>de apertura de la licitación, el Director General de Hacienda, por Resolución Nº</w:t>
      </w:r>
      <w:r w:rsidR="00343FAE">
        <w:rPr>
          <w:bCs/>
        </w:rPr>
        <w:t xml:space="preserve"> 06428/2013 de fecha 26.08.13, dispone declarar desierto el llamado a la Licitación Abreviada Nº</w:t>
      </w:r>
      <w:r w:rsidR="00490C1D">
        <w:rPr>
          <w:bCs/>
        </w:rPr>
        <w:t xml:space="preserve"> </w:t>
      </w:r>
      <w:r w:rsidR="00343FAE">
        <w:rPr>
          <w:bCs/>
        </w:rPr>
        <w:t>20</w:t>
      </w:r>
      <w:r w:rsidR="00490C1D">
        <w:rPr>
          <w:bCs/>
        </w:rPr>
        <w:t>/</w:t>
      </w:r>
      <w:r w:rsidR="00343FAE">
        <w:rPr>
          <w:bCs/>
        </w:rPr>
        <w:t xml:space="preserve">13, y aprobar la aplicación del procedimiento previsto en el </w:t>
      </w:r>
      <w:r w:rsidR="0073645D">
        <w:rPr>
          <w:bCs/>
        </w:rPr>
        <w:t>A</w:t>
      </w:r>
      <w:r w:rsidR="00343FAE">
        <w:rPr>
          <w:bCs/>
        </w:rPr>
        <w:t>rtículo 33, Inciso C</w:t>
      </w:r>
      <w:r w:rsidR="0073645D">
        <w:rPr>
          <w:bCs/>
        </w:rPr>
        <w:t>)</w:t>
      </w:r>
      <w:r w:rsidR="00343FAE">
        <w:rPr>
          <w:bCs/>
        </w:rPr>
        <w:t>, Numeral 2</w:t>
      </w:r>
      <w:r w:rsidR="0073645D">
        <w:rPr>
          <w:bCs/>
        </w:rPr>
        <w:t>)</w:t>
      </w:r>
      <w:r w:rsidR="00343FAE">
        <w:rPr>
          <w:bCs/>
        </w:rPr>
        <w:t xml:space="preserve"> del T.O.C.A.F.;</w:t>
      </w:r>
    </w:p>
    <w:p w:rsidR="00710D5E" w:rsidRDefault="00B0226C" w:rsidP="0073645D">
      <w:pPr>
        <w:tabs>
          <w:tab w:val="left" w:pos="1843"/>
        </w:tabs>
        <w:spacing w:line="360" w:lineRule="auto"/>
        <w:ind w:firstLine="2694"/>
        <w:jc w:val="both"/>
        <w:rPr>
          <w:bCs/>
        </w:rPr>
      </w:pPr>
      <w:r w:rsidRPr="00B0226C">
        <w:rPr>
          <w:b/>
          <w:bCs/>
        </w:rPr>
        <w:lastRenderedPageBreak/>
        <w:t>5</w:t>
      </w:r>
      <w:r w:rsidR="007B23C5" w:rsidRPr="00B0226C">
        <w:rPr>
          <w:b/>
          <w:bCs/>
        </w:rPr>
        <w:t>)</w:t>
      </w:r>
      <w:r>
        <w:rPr>
          <w:b/>
          <w:bCs/>
        </w:rPr>
        <w:t xml:space="preserve"> </w:t>
      </w:r>
      <w:r w:rsidR="00D62610">
        <w:rPr>
          <w:bCs/>
        </w:rPr>
        <w:t>que con fecha 06</w:t>
      </w:r>
      <w:r w:rsidR="00415B92">
        <w:rPr>
          <w:bCs/>
        </w:rPr>
        <w:t>.09.13</w:t>
      </w:r>
      <w:r w:rsidR="00D62610">
        <w:rPr>
          <w:bCs/>
        </w:rPr>
        <w:t xml:space="preserve"> la Mesa de Licitación de la División de Adquisiciones y Almacenes, </w:t>
      </w:r>
      <w:r w:rsidR="00CF256F">
        <w:rPr>
          <w:bCs/>
        </w:rPr>
        <w:t>comunica que la nueva apertura de ofertas se llevará a cabo el 17.09.13 a la hora 12;</w:t>
      </w:r>
    </w:p>
    <w:p w:rsidR="00A1296C" w:rsidRDefault="00710D5E" w:rsidP="0073645D">
      <w:pPr>
        <w:tabs>
          <w:tab w:val="left" w:pos="1843"/>
        </w:tabs>
        <w:spacing w:line="360" w:lineRule="auto"/>
        <w:ind w:firstLine="2694"/>
        <w:jc w:val="both"/>
        <w:rPr>
          <w:bCs/>
        </w:rPr>
      </w:pPr>
      <w:r w:rsidRPr="00710D5E">
        <w:rPr>
          <w:b/>
          <w:bCs/>
        </w:rPr>
        <w:t>6)</w:t>
      </w:r>
      <w:r>
        <w:rPr>
          <w:b/>
          <w:bCs/>
        </w:rPr>
        <w:t xml:space="preserve"> </w:t>
      </w:r>
      <w:proofErr w:type="gramStart"/>
      <w:r>
        <w:rPr>
          <w:bCs/>
        </w:rPr>
        <w:t>que</w:t>
      </w:r>
      <w:proofErr w:type="gramEnd"/>
      <w:r w:rsidR="005357F4">
        <w:rPr>
          <w:bCs/>
        </w:rPr>
        <w:t xml:space="preserve"> </w:t>
      </w:r>
      <w:r w:rsidR="00AB2F76">
        <w:rPr>
          <w:bCs/>
        </w:rPr>
        <w:t>a</w:t>
      </w:r>
      <w:r>
        <w:rPr>
          <w:bCs/>
        </w:rPr>
        <w:t xml:space="preserve"> dicha apertura de ofertas se presentan cuatro </w:t>
      </w:r>
      <w:r w:rsidR="004C0E2D">
        <w:rPr>
          <w:bCs/>
        </w:rPr>
        <w:t>propuestas</w:t>
      </w:r>
      <w:r>
        <w:rPr>
          <w:bCs/>
        </w:rPr>
        <w:t xml:space="preserve">, correspondientes </w:t>
      </w:r>
      <w:r w:rsidR="00815753">
        <w:rPr>
          <w:bCs/>
        </w:rPr>
        <w:t>a la S</w:t>
      </w:r>
      <w:r w:rsidR="0073645D">
        <w:rPr>
          <w:bCs/>
        </w:rPr>
        <w:t>eño</w:t>
      </w:r>
      <w:r w:rsidR="00815753">
        <w:rPr>
          <w:bCs/>
        </w:rPr>
        <w:t>ra Elba Raquel Milán</w:t>
      </w:r>
      <w:r w:rsidR="005357F4">
        <w:rPr>
          <w:bCs/>
        </w:rPr>
        <w:t xml:space="preserve"> (Oferta Nº1)</w:t>
      </w:r>
      <w:r w:rsidR="00815753">
        <w:rPr>
          <w:bCs/>
        </w:rPr>
        <w:t>, S</w:t>
      </w:r>
      <w:r w:rsidR="0073645D">
        <w:rPr>
          <w:bCs/>
        </w:rPr>
        <w:t>eño</w:t>
      </w:r>
      <w:r w:rsidR="00815753">
        <w:rPr>
          <w:bCs/>
        </w:rPr>
        <w:t>ra Silvia Méndez</w:t>
      </w:r>
      <w:r w:rsidR="005357F4">
        <w:rPr>
          <w:bCs/>
        </w:rPr>
        <w:t xml:space="preserve"> (Oferta Nº 2)</w:t>
      </w:r>
      <w:r w:rsidR="00815753">
        <w:rPr>
          <w:bCs/>
        </w:rPr>
        <w:t>, S</w:t>
      </w:r>
      <w:r w:rsidR="0073645D">
        <w:rPr>
          <w:bCs/>
        </w:rPr>
        <w:t>eño</w:t>
      </w:r>
      <w:r w:rsidR="00815753">
        <w:rPr>
          <w:bCs/>
        </w:rPr>
        <w:t>r</w:t>
      </w:r>
      <w:r w:rsidR="0073645D">
        <w:rPr>
          <w:bCs/>
        </w:rPr>
        <w:t xml:space="preserve"> </w:t>
      </w:r>
      <w:r w:rsidR="00815753">
        <w:rPr>
          <w:bCs/>
        </w:rPr>
        <w:t xml:space="preserve"> Alberto </w:t>
      </w:r>
      <w:proofErr w:type="spellStart"/>
      <w:r w:rsidR="00815753">
        <w:rPr>
          <w:bCs/>
        </w:rPr>
        <w:t>Palomeque</w:t>
      </w:r>
      <w:proofErr w:type="spellEnd"/>
      <w:r w:rsidR="005357F4">
        <w:rPr>
          <w:bCs/>
        </w:rPr>
        <w:t xml:space="preserve"> (Oferta Nº3)</w:t>
      </w:r>
      <w:r w:rsidR="00815753">
        <w:rPr>
          <w:bCs/>
        </w:rPr>
        <w:t xml:space="preserve"> y el Sr. Marcos </w:t>
      </w:r>
      <w:proofErr w:type="spellStart"/>
      <w:r w:rsidR="00815753">
        <w:rPr>
          <w:bCs/>
        </w:rPr>
        <w:t>Crosa</w:t>
      </w:r>
      <w:proofErr w:type="spellEnd"/>
      <w:r w:rsidR="005357F4">
        <w:rPr>
          <w:bCs/>
        </w:rPr>
        <w:t xml:space="preserve"> (Oferta Nº 4)</w:t>
      </w:r>
      <w:r w:rsidR="00815753">
        <w:rPr>
          <w:bCs/>
        </w:rPr>
        <w:t>, cuyas ofertas se reciben observadas por no presentar el certificado del BSE o declaración jurada de no tener personal a cargo, otorgándoseles un plazo de dos días hábiles para subsanar dicha omisión. Asimismo se consigna en el acta que la oferta Nº 1 se recibe sin firma de la titular, quedando su admisión a estudio de la Comisión Asesora de Licitación y Adjudicaciones;</w:t>
      </w:r>
    </w:p>
    <w:p w:rsidR="00ED4649" w:rsidRDefault="00ED4649" w:rsidP="0073645D">
      <w:pPr>
        <w:tabs>
          <w:tab w:val="left" w:pos="1843"/>
        </w:tabs>
        <w:spacing w:line="360" w:lineRule="auto"/>
        <w:ind w:firstLine="2694"/>
        <w:jc w:val="both"/>
        <w:rPr>
          <w:bCs/>
        </w:rPr>
      </w:pPr>
      <w:r>
        <w:rPr>
          <w:b/>
          <w:bCs/>
        </w:rPr>
        <w:t xml:space="preserve">7) </w:t>
      </w:r>
      <w:r>
        <w:rPr>
          <w:bCs/>
        </w:rPr>
        <w:t>que con fecha 23.09.13, el Asesor de la Dirección de Hacienda, dispone el pase de las actuaciones a la Dirección General de Higiene y Protección Ambiental a los efectos de realizar informe técnico de las empresas correspondientes a la Sra. Silvia Méndez (Of</w:t>
      </w:r>
      <w:r w:rsidR="00F92CB7">
        <w:rPr>
          <w:bCs/>
        </w:rPr>
        <w:t xml:space="preserve">erta Nº2) y el Sr. Marcos </w:t>
      </w:r>
      <w:proofErr w:type="spellStart"/>
      <w:r w:rsidR="00F92CB7">
        <w:rPr>
          <w:bCs/>
        </w:rPr>
        <w:t>Crosa</w:t>
      </w:r>
      <w:proofErr w:type="spellEnd"/>
      <w:r>
        <w:rPr>
          <w:bCs/>
        </w:rPr>
        <w:t xml:space="preserve"> (Oferta Nº4), manifestando que las ofertas de la Sra. Elba Milán y Antonio </w:t>
      </w:r>
      <w:proofErr w:type="spellStart"/>
      <w:r>
        <w:rPr>
          <w:bCs/>
        </w:rPr>
        <w:t>Lopez</w:t>
      </w:r>
      <w:proofErr w:type="spellEnd"/>
      <w:r>
        <w:rPr>
          <w:bCs/>
        </w:rPr>
        <w:t xml:space="preserve"> (Oferta Nº1) y la de Pallares y </w:t>
      </w:r>
      <w:proofErr w:type="spellStart"/>
      <w:r>
        <w:rPr>
          <w:bCs/>
        </w:rPr>
        <w:t>Nalerio</w:t>
      </w:r>
      <w:proofErr w:type="spellEnd"/>
      <w:r>
        <w:rPr>
          <w:bCs/>
        </w:rPr>
        <w:t xml:space="preserve"> (Oferta Nº3) no son admisibles, por no haber presentado certificado del BSE y no estar firmada la oferta en el caso de la primera, y por</w:t>
      </w:r>
      <w:r w:rsidR="0026446D">
        <w:rPr>
          <w:bCs/>
        </w:rPr>
        <w:t xml:space="preserve"> no </w:t>
      </w:r>
      <w:r>
        <w:rPr>
          <w:bCs/>
        </w:rPr>
        <w:t>cumplir con la acreditación de la compra del pliego en cuanto el comprobante que se adjunta no está a nombre del oferente, en el caso de la segunda;</w:t>
      </w:r>
    </w:p>
    <w:p w:rsidR="007B23C5" w:rsidRDefault="0073645D" w:rsidP="0073645D">
      <w:pPr>
        <w:tabs>
          <w:tab w:val="left" w:pos="1843"/>
        </w:tabs>
        <w:spacing w:line="360" w:lineRule="auto"/>
        <w:ind w:firstLine="2694"/>
        <w:jc w:val="both"/>
        <w:rPr>
          <w:bCs/>
        </w:rPr>
      </w:pPr>
      <w:r>
        <w:rPr>
          <w:b/>
          <w:bCs/>
        </w:rPr>
        <w:t xml:space="preserve"> </w:t>
      </w:r>
      <w:r w:rsidR="00ED4649">
        <w:rPr>
          <w:b/>
          <w:bCs/>
        </w:rPr>
        <w:t>8</w:t>
      </w:r>
      <w:r w:rsidR="00A1296C" w:rsidRPr="00A1296C">
        <w:rPr>
          <w:b/>
          <w:bCs/>
        </w:rPr>
        <w:t>)</w:t>
      </w:r>
      <w:r w:rsidR="00A1296C">
        <w:rPr>
          <w:b/>
          <w:bCs/>
        </w:rPr>
        <w:t xml:space="preserve"> </w:t>
      </w:r>
      <w:r w:rsidR="00A1296C">
        <w:rPr>
          <w:bCs/>
        </w:rPr>
        <w:t>que en informe técnico del encargado del Área de Planes</w:t>
      </w:r>
      <w:r w:rsidR="009B4C80">
        <w:rPr>
          <w:bCs/>
        </w:rPr>
        <w:t xml:space="preserve"> fechado el 25.09.13</w:t>
      </w:r>
      <w:r w:rsidR="005357F4">
        <w:rPr>
          <w:bCs/>
        </w:rPr>
        <w:t xml:space="preserve">, se evalúan las </w:t>
      </w:r>
      <w:r w:rsidR="009B4C80">
        <w:rPr>
          <w:bCs/>
        </w:rPr>
        <w:t>Ofertas Números 2 y 4, adjudicándoles 40 puntos a cada una, por considerar que las propuestas constructivas son equivalentes;</w:t>
      </w:r>
    </w:p>
    <w:p w:rsidR="003131DF" w:rsidRDefault="0073645D" w:rsidP="0073645D">
      <w:pPr>
        <w:tabs>
          <w:tab w:val="left" w:pos="1843"/>
        </w:tabs>
        <w:spacing w:line="360" w:lineRule="auto"/>
        <w:ind w:firstLine="2694"/>
        <w:jc w:val="both"/>
        <w:rPr>
          <w:bCs/>
        </w:rPr>
      </w:pPr>
      <w:r>
        <w:rPr>
          <w:b/>
          <w:bCs/>
        </w:rPr>
        <w:t xml:space="preserve"> </w:t>
      </w:r>
      <w:r w:rsidR="00B42545" w:rsidRPr="00B42545">
        <w:rPr>
          <w:b/>
          <w:bCs/>
        </w:rPr>
        <w:t>9</w:t>
      </w:r>
      <w:r w:rsidR="009B4C80" w:rsidRPr="00B42545">
        <w:rPr>
          <w:b/>
          <w:bCs/>
        </w:rPr>
        <w:t>)</w:t>
      </w:r>
      <w:r w:rsidR="009B4C80">
        <w:rPr>
          <w:b/>
          <w:bCs/>
        </w:rPr>
        <w:t xml:space="preserve"> </w:t>
      </w:r>
      <w:r w:rsidR="009B4C80">
        <w:rPr>
          <w:bCs/>
        </w:rPr>
        <w:t>que en informe de fecha 03.10.13 de la Directora General de Higiene y Protección Ambiental referido a las Ofertas Números 2 y 4</w:t>
      </w:r>
      <w:r w:rsidR="002F0E46">
        <w:rPr>
          <w:bCs/>
        </w:rPr>
        <w:t xml:space="preserve">, se considera como propuesta </w:t>
      </w:r>
      <w:r w:rsidR="00CB621D">
        <w:rPr>
          <w:bCs/>
        </w:rPr>
        <w:t xml:space="preserve">más conveniente a los intereses de la </w:t>
      </w:r>
      <w:r w:rsidR="00CB621D">
        <w:rPr>
          <w:bCs/>
        </w:rPr>
        <w:lastRenderedPageBreak/>
        <w:t>Administraci</w:t>
      </w:r>
      <w:r w:rsidR="008A6C4E">
        <w:rPr>
          <w:bCs/>
        </w:rPr>
        <w:t>ón, la de la S</w:t>
      </w:r>
      <w:r>
        <w:rPr>
          <w:bCs/>
        </w:rPr>
        <w:t>eño</w:t>
      </w:r>
      <w:r w:rsidR="008A6C4E">
        <w:rPr>
          <w:bCs/>
        </w:rPr>
        <w:t>ra Sonia Méndez (debió decir Sylvia Méndez), dada la diferencia a su favor, en la propuesta econ</w:t>
      </w:r>
      <w:r w:rsidR="00E00031">
        <w:rPr>
          <w:bCs/>
        </w:rPr>
        <w:t xml:space="preserve">ómica </w:t>
      </w:r>
      <w:r w:rsidR="004C0E2D">
        <w:rPr>
          <w:bCs/>
        </w:rPr>
        <w:t xml:space="preserve">ofrecida; </w:t>
      </w:r>
    </w:p>
    <w:p w:rsidR="004C0E2D" w:rsidRDefault="00B42545" w:rsidP="0073645D">
      <w:pPr>
        <w:tabs>
          <w:tab w:val="left" w:pos="1843"/>
        </w:tabs>
        <w:spacing w:line="360" w:lineRule="auto"/>
        <w:ind w:firstLine="2835"/>
        <w:jc w:val="both"/>
        <w:rPr>
          <w:b/>
          <w:bCs/>
        </w:rPr>
      </w:pPr>
      <w:r w:rsidRPr="00B42545">
        <w:rPr>
          <w:b/>
          <w:bCs/>
        </w:rPr>
        <w:t>10</w:t>
      </w:r>
      <w:r w:rsidR="003131DF" w:rsidRPr="00B42545">
        <w:rPr>
          <w:b/>
          <w:bCs/>
        </w:rPr>
        <w:t>)</w:t>
      </w:r>
      <w:r w:rsidR="003131DF">
        <w:rPr>
          <w:b/>
          <w:bCs/>
        </w:rPr>
        <w:t xml:space="preserve"> </w:t>
      </w:r>
      <w:r w:rsidR="00C9580D">
        <w:rPr>
          <w:bCs/>
        </w:rPr>
        <w:t>que en informe de la Comisión Asesora de fecha 07.10.13</w:t>
      </w:r>
      <w:r w:rsidR="003457B6">
        <w:rPr>
          <w:bCs/>
        </w:rPr>
        <w:t xml:space="preserve"> </w:t>
      </w:r>
      <w:r w:rsidR="009A2639">
        <w:rPr>
          <w:bCs/>
        </w:rPr>
        <w:t xml:space="preserve">la misma manifiesta que la Oferta </w:t>
      </w:r>
      <w:r w:rsidR="00993C19">
        <w:rPr>
          <w:bCs/>
        </w:rPr>
        <w:t xml:space="preserve">Nº 1 no es admisible al no haber presentado Certificado del Banco de Seguros del Estado tal como lo indica el Pliego Particular de Condiciones en su </w:t>
      </w:r>
      <w:r w:rsidR="0073645D">
        <w:rPr>
          <w:bCs/>
        </w:rPr>
        <w:t>A</w:t>
      </w:r>
      <w:r w:rsidR="00993C19">
        <w:rPr>
          <w:bCs/>
        </w:rPr>
        <w:t>rt</w:t>
      </w:r>
      <w:r w:rsidR="0073645D">
        <w:rPr>
          <w:bCs/>
        </w:rPr>
        <w:t>ículo</w:t>
      </w:r>
      <w:r w:rsidR="00993C19">
        <w:rPr>
          <w:bCs/>
        </w:rPr>
        <w:t xml:space="preserve"> 13 </w:t>
      </w:r>
      <w:r w:rsidR="0073645D">
        <w:rPr>
          <w:bCs/>
        </w:rPr>
        <w:t>I</w:t>
      </w:r>
      <w:r w:rsidR="00993C19">
        <w:rPr>
          <w:bCs/>
        </w:rPr>
        <w:t>nc</w:t>
      </w:r>
      <w:r w:rsidR="0073645D">
        <w:rPr>
          <w:bCs/>
        </w:rPr>
        <w:t>iso</w:t>
      </w:r>
      <w:r w:rsidR="00993C19">
        <w:rPr>
          <w:bCs/>
        </w:rPr>
        <w:t xml:space="preserve"> B) y no haber firmado la oferta. Asimismo señala que la oferta Nº 3 no es admisible en tanto no cumple con la acreditación de la compra del pliego por cuanto el comprobante que se adjunta no está a nombre del oferente;</w:t>
      </w:r>
    </w:p>
    <w:p w:rsidR="00993C19" w:rsidRDefault="0073645D" w:rsidP="0073645D">
      <w:pPr>
        <w:tabs>
          <w:tab w:val="left" w:pos="1843"/>
        </w:tabs>
        <w:spacing w:line="360" w:lineRule="auto"/>
        <w:ind w:firstLine="2835"/>
        <w:jc w:val="both"/>
        <w:rPr>
          <w:bCs/>
        </w:rPr>
      </w:pPr>
      <w:r>
        <w:rPr>
          <w:b/>
          <w:bCs/>
        </w:rPr>
        <w:t xml:space="preserve"> </w:t>
      </w:r>
      <w:r w:rsidR="00B42545">
        <w:rPr>
          <w:b/>
          <w:bCs/>
        </w:rPr>
        <w:t>11</w:t>
      </w:r>
      <w:r w:rsidR="00993C19">
        <w:rPr>
          <w:b/>
          <w:bCs/>
        </w:rPr>
        <w:t xml:space="preserve">) </w:t>
      </w:r>
      <w:r w:rsidR="00993C19">
        <w:rPr>
          <w:bCs/>
        </w:rPr>
        <w:t>que en el informe precitado la Comisión Asesora sugiere, ponderando los informes técnicos producidos (Resultandos 8</w:t>
      </w:r>
      <w:r w:rsidR="00AF00A7">
        <w:rPr>
          <w:bCs/>
        </w:rPr>
        <w:t xml:space="preserve"> y 9</w:t>
      </w:r>
      <w:r w:rsidR="00993C19">
        <w:rPr>
          <w:bCs/>
        </w:rPr>
        <w:t>), adjudicar el objeto del presente llamado a la empresa de la S</w:t>
      </w:r>
      <w:r>
        <w:rPr>
          <w:bCs/>
        </w:rPr>
        <w:t>eño</w:t>
      </w:r>
      <w:r w:rsidR="00993C19">
        <w:rPr>
          <w:bCs/>
        </w:rPr>
        <w:t>ra</w:t>
      </w:r>
      <w:r>
        <w:rPr>
          <w:bCs/>
        </w:rPr>
        <w:t xml:space="preserve">  Silvia Irene Mé</w:t>
      </w:r>
      <w:r w:rsidR="00993C19">
        <w:rPr>
          <w:bCs/>
        </w:rPr>
        <w:t>ndez Rivero;</w:t>
      </w:r>
    </w:p>
    <w:p w:rsidR="00EE3902" w:rsidRDefault="0073645D" w:rsidP="0073645D">
      <w:pPr>
        <w:tabs>
          <w:tab w:val="left" w:pos="1843"/>
        </w:tabs>
        <w:spacing w:line="360" w:lineRule="auto"/>
        <w:ind w:firstLine="2835"/>
        <w:jc w:val="both"/>
        <w:rPr>
          <w:bCs/>
        </w:rPr>
      </w:pPr>
      <w:r>
        <w:rPr>
          <w:b/>
          <w:bCs/>
        </w:rPr>
        <w:t xml:space="preserve">  </w:t>
      </w:r>
      <w:r w:rsidR="00B42545">
        <w:rPr>
          <w:b/>
          <w:bCs/>
        </w:rPr>
        <w:t>12</w:t>
      </w:r>
      <w:r w:rsidR="00993C19" w:rsidRPr="00993C19">
        <w:rPr>
          <w:b/>
          <w:bCs/>
        </w:rPr>
        <w:t>)</w:t>
      </w:r>
      <w:r w:rsidR="00993C19">
        <w:rPr>
          <w:b/>
          <w:bCs/>
        </w:rPr>
        <w:t xml:space="preserve"> </w:t>
      </w:r>
      <w:r w:rsidR="00993C19">
        <w:rPr>
          <w:bCs/>
        </w:rPr>
        <w:t xml:space="preserve">que </w:t>
      </w:r>
      <w:r w:rsidR="008134F2">
        <w:rPr>
          <w:bCs/>
        </w:rPr>
        <w:t xml:space="preserve">por Resolución del Director General de Hacienda Nº 08081/2013 de fecha 14.10.13, se dispone adjudicar a referéndum de la intervención de este Tribunal, el llamado con bases y especificaciones idénticas a las del procedimiento fracasado de la Licitación Abreviada </w:t>
      </w:r>
      <w:r>
        <w:rPr>
          <w:bCs/>
        </w:rPr>
        <w:t>20/13, a la Sra. Silvia Irene Mé</w:t>
      </w:r>
      <w:r w:rsidR="008134F2">
        <w:rPr>
          <w:bCs/>
        </w:rPr>
        <w:t>ndez Rivero, quien deberá pagar un canon de $</w:t>
      </w:r>
      <w:r>
        <w:rPr>
          <w:bCs/>
        </w:rPr>
        <w:t xml:space="preserve"> </w:t>
      </w:r>
      <w:r w:rsidR="008134F2">
        <w:rPr>
          <w:bCs/>
        </w:rPr>
        <w:t xml:space="preserve">70.000 </w:t>
      </w:r>
      <w:r w:rsidR="008134F2" w:rsidRPr="0073645D">
        <w:rPr>
          <w:bCs/>
          <w:spacing w:val="8"/>
        </w:rPr>
        <w:t>anuales  por la explotación de los dos kioscos, y efectuará una inversión de $</w:t>
      </w:r>
      <w:r>
        <w:rPr>
          <w:bCs/>
        </w:rPr>
        <w:t xml:space="preserve"> </w:t>
      </w:r>
      <w:r w:rsidR="008134F2">
        <w:rPr>
          <w:bCs/>
        </w:rPr>
        <w:t>350.000 para la construcción de los mismos;</w:t>
      </w:r>
    </w:p>
    <w:p w:rsidR="002B45A5" w:rsidRDefault="00E31CE3" w:rsidP="0073645D">
      <w:pPr>
        <w:spacing w:line="360" w:lineRule="auto"/>
        <w:ind w:firstLine="708"/>
        <w:jc w:val="both"/>
        <w:rPr>
          <w:bCs/>
        </w:rPr>
      </w:pPr>
      <w:r>
        <w:rPr>
          <w:b/>
          <w:bCs/>
        </w:rPr>
        <w:t>CONSIDERANDO:</w:t>
      </w:r>
      <w:r w:rsidR="0073645D">
        <w:rPr>
          <w:b/>
          <w:bCs/>
        </w:rPr>
        <w:t xml:space="preserve"> </w:t>
      </w:r>
      <w:r>
        <w:rPr>
          <w:b/>
          <w:bCs/>
        </w:rPr>
        <w:t xml:space="preserve">1) </w:t>
      </w:r>
      <w:r w:rsidR="00F21F0D">
        <w:rPr>
          <w:bCs/>
        </w:rPr>
        <w:t xml:space="preserve">que </w:t>
      </w:r>
      <w:r w:rsidR="00A6780D">
        <w:rPr>
          <w:bCs/>
        </w:rPr>
        <w:t xml:space="preserve">ha sido debidamente justificada la causal de excepción dispuesta por el </w:t>
      </w:r>
      <w:r w:rsidR="0073645D">
        <w:rPr>
          <w:bCs/>
        </w:rPr>
        <w:t>A</w:t>
      </w:r>
      <w:r w:rsidR="00A6780D">
        <w:rPr>
          <w:bCs/>
        </w:rPr>
        <w:t xml:space="preserve">rtículo 33, </w:t>
      </w:r>
      <w:r w:rsidR="0073645D">
        <w:rPr>
          <w:bCs/>
        </w:rPr>
        <w:t>L</w:t>
      </w:r>
      <w:r w:rsidR="00A6780D">
        <w:rPr>
          <w:bCs/>
        </w:rPr>
        <w:t xml:space="preserve">iteral C), </w:t>
      </w:r>
      <w:r w:rsidR="0073645D">
        <w:rPr>
          <w:bCs/>
        </w:rPr>
        <w:t>N</w:t>
      </w:r>
      <w:r w:rsidR="00A6780D">
        <w:rPr>
          <w:bCs/>
        </w:rPr>
        <w:t xml:space="preserve">umeral 2) del T.O.C.A.F. invocada en la Resolución del  Director General de Hacienda Nº 06428/2013, en tanto la </w:t>
      </w:r>
      <w:r w:rsidR="003E0E7F">
        <w:rPr>
          <w:bCs/>
        </w:rPr>
        <w:t>L</w:t>
      </w:r>
      <w:r w:rsidR="00A6780D">
        <w:rPr>
          <w:bCs/>
        </w:rPr>
        <w:t xml:space="preserve">icitación </w:t>
      </w:r>
      <w:r w:rsidR="003E0E7F">
        <w:rPr>
          <w:bCs/>
        </w:rPr>
        <w:t>A</w:t>
      </w:r>
      <w:r w:rsidR="00A6780D">
        <w:rPr>
          <w:bCs/>
        </w:rPr>
        <w:t>breviada Nº 20/1</w:t>
      </w:r>
      <w:r w:rsidR="00311067">
        <w:rPr>
          <w:bCs/>
        </w:rPr>
        <w:t>3</w:t>
      </w:r>
      <w:r w:rsidR="00A6780D">
        <w:rPr>
          <w:bCs/>
        </w:rPr>
        <w:t xml:space="preserve"> resultó fallida</w:t>
      </w:r>
      <w:r w:rsidR="00311067">
        <w:rPr>
          <w:bCs/>
        </w:rPr>
        <w:t>,</w:t>
      </w:r>
      <w:r w:rsidR="00A6780D">
        <w:rPr>
          <w:bCs/>
        </w:rPr>
        <w:t xml:space="preserve"> y el nuevo procedimiento se realizó con bases y especificaciones idénticas al original;</w:t>
      </w:r>
    </w:p>
    <w:p w:rsidR="00E31CE3" w:rsidRPr="00AD2F1F" w:rsidRDefault="00A6780D" w:rsidP="0073645D">
      <w:pPr>
        <w:tabs>
          <w:tab w:val="left" w:pos="2127"/>
        </w:tabs>
        <w:spacing w:line="360" w:lineRule="auto"/>
        <w:ind w:firstLine="2835"/>
        <w:jc w:val="both"/>
        <w:rPr>
          <w:bCs/>
        </w:rPr>
      </w:pPr>
      <w:r>
        <w:rPr>
          <w:bCs/>
        </w:rPr>
        <w:t xml:space="preserve"> </w:t>
      </w:r>
      <w:r w:rsidR="0073645D">
        <w:rPr>
          <w:bCs/>
        </w:rPr>
        <w:t xml:space="preserve"> </w:t>
      </w:r>
      <w:r w:rsidR="002B45A5" w:rsidRPr="002B45A5">
        <w:rPr>
          <w:b/>
          <w:bCs/>
        </w:rPr>
        <w:t>2)</w:t>
      </w:r>
      <w:r w:rsidR="002B45A5">
        <w:rPr>
          <w:b/>
          <w:bCs/>
        </w:rPr>
        <w:t xml:space="preserve"> </w:t>
      </w:r>
      <w:r w:rsidR="00E1786A">
        <w:rPr>
          <w:bCs/>
        </w:rPr>
        <w:t xml:space="preserve">que no consta el haber dado cumplimiento al </w:t>
      </w:r>
      <w:r w:rsidR="0073645D">
        <w:rPr>
          <w:bCs/>
        </w:rPr>
        <w:t>A</w:t>
      </w:r>
      <w:r w:rsidR="00E1786A">
        <w:rPr>
          <w:bCs/>
        </w:rPr>
        <w:t>rtículo 50 del T.O.C.A.F., en la nueva convocatoria para la contratación directa por excepción;</w:t>
      </w:r>
    </w:p>
    <w:p w:rsidR="008044C8" w:rsidRDefault="00405405" w:rsidP="0073645D">
      <w:pPr>
        <w:tabs>
          <w:tab w:val="left" w:pos="2127"/>
        </w:tabs>
        <w:spacing w:line="360" w:lineRule="auto"/>
        <w:ind w:firstLine="2977"/>
        <w:jc w:val="both"/>
      </w:pPr>
      <w:r w:rsidRPr="00405405">
        <w:rPr>
          <w:b/>
        </w:rPr>
        <w:lastRenderedPageBreak/>
        <w:t>3</w:t>
      </w:r>
      <w:r w:rsidR="00E31CE3" w:rsidRPr="00405405">
        <w:rPr>
          <w:b/>
        </w:rPr>
        <w:t>)</w:t>
      </w:r>
      <w:r w:rsidR="00ED0B41">
        <w:t xml:space="preserve"> que </w:t>
      </w:r>
      <w:r w:rsidR="008044C8">
        <w:t xml:space="preserve">conforme al </w:t>
      </w:r>
      <w:r w:rsidR="0073645D">
        <w:t>A</w:t>
      </w:r>
      <w:r w:rsidR="008044C8">
        <w:t>rtículo 48 del TOCAF, el pliego particular no podrá imponer al oferente ningún requisito que no esté directamente vinculado a la consideración del objeto de la contratación y a la evaluación de la oferta, reservándose sólo al oferente que resulte adjudicatario, la carga administrativa de la demostración de estar en condiciones formales de contratar, sin perjuicio de las responsabilidades penales, civiles o administrativas que pudieran corresponder;</w:t>
      </w:r>
    </w:p>
    <w:p w:rsidR="00003A34" w:rsidRDefault="00405405" w:rsidP="0073645D">
      <w:pPr>
        <w:tabs>
          <w:tab w:val="left" w:pos="2268"/>
        </w:tabs>
        <w:spacing w:line="360" w:lineRule="auto"/>
        <w:ind w:firstLine="2977"/>
        <w:jc w:val="both"/>
      </w:pPr>
      <w:r w:rsidRPr="00405405">
        <w:rPr>
          <w:b/>
        </w:rPr>
        <w:t>4</w:t>
      </w:r>
      <w:r w:rsidR="008044C8" w:rsidRPr="00405405">
        <w:rPr>
          <w:b/>
          <w:bCs/>
        </w:rPr>
        <w:t>)</w:t>
      </w:r>
      <w:r w:rsidR="008044C8">
        <w:t xml:space="preserve"> que las disposiciones previstas en la cláusula 13</w:t>
      </w:r>
      <w:r w:rsidR="00003A34">
        <w:t xml:space="preserve"> </w:t>
      </w:r>
      <w:r w:rsidR="0073645D">
        <w:t>L</w:t>
      </w:r>
      <w:r w:rsidR="00003A34">
        <w:t xml:space="preserve">iterales </w:t>
      </w:r>
      <w:r w:rsidR="0073645D">
        <w:t>B</w:t>
      </w:r>
      <w:r w:rsidR="00833FE9">
        <w:t xml:space="preserve">), </w:t>
      </w:r>
      <w:r w:rsidR="0073645D">
        <w:t>C</w:t>
      </w:r>
      <w:r w:rsidR="00003A34">
        <w:t xml:space="preserve">) y </w:t>
      </w:r>
      <w:r w:rsidR="0073645D">
        <w:t>E</w:t>
      </w:r>
      <w:r w:rsidR="00003A34">
        <w:t>)</w:t>
      </w:r>
      <w:r w:rsidR="008044C8">
        <w:t xml:space="preserve">, </w:t>
      </w:r>
      <w:r w:rsidR="00003A34">
        <w:t>no deben ser</w:t>
      </w:r>
      <w:r w:rsidR="00311067">
        <w:t xml:space="preserve"> </w:t>
      </w:r>
      <w:r w:rsidR="00003A34">
        <w:t>señaladas como requisitos para ofertar, sino que deben exigirse</w:t>
      </w:r>
      <w:r w:rsidR="00311067">
        <w:t xml:space="preserve"> solamente</w:t>
      </w:r>
      <w:r w:rsidR="00003A34">
        <w:t xml:space="preserve"> a quien resulte adjudicatario, como dispone el </w:t>
      </w:r>
      <w:r w:rsidR="0073645D">
        <w:t>A</w:t>
      </w:r>
      <w:r w:rsidR="00003A34">
        <w:t>rtículo 48 precitado;</w:t>
      </w:r>
    </w:p>
    <w:p w:rsidR="0073645D" w:rsidRDefault="00405405" w:rsidP="0073645D">
      <w:pPr>
        <w:tabs>
          <w:tab w:val="left" w:pos="2268"/>
        </w:tabs>
        <w:spacing w:line="360" w:lineRule="auto"/>
        <w:ind w:firstLine="2977"/>
        <w:jc w:val="both"/>
      </w:pPr>
      <w:r w:rsidRPr="00405405">
        <w:rPr>
          <w:b/>
        </w:rPr>
        <w:t>5)</w:t>
      </w:r>
      <w:r>
        <w:t xml:space="preserve"> que tanto el certificado del BSE como el recibo de compra del pliego, no deben ser considerados requisitos para ofertar, por lo que la elim</w:t>
      </w:r>
      <w:r w:rsidR="00037FF5">
        <w:t>inación de las Ofertas números 1</w:t>
      </w:r>
      <w:r>
        <w:t xml:space="preserve"> y 3 por esa</w:t>
      </w:r>
      <w:r w:rsidR="00F80CE5">
        <w:t>s</w:t>
      </w:r>
      <w:r>
        <w:t xml:space="preserve"> causal</w:t>
      </w:r>
      <w:r w:rsidR="00F80CE5">
        <w:t>es</w:t>
      </w:r>
      <w:r>
        <w:t xml:space="preserve"> por parte de la Comisión Asesora (Resultando 10)</w:t>
      </w:r>
      <w:r w:rsidR="00F92CB7">
        <w:t>, contrario a derecho</w:t>
      </w:r>
      <w:r w:rsidR="0073645D">
        <w:t>;</w:t>
      </w:r>
    </w:p>
    <w:p w:rsidR="00821FB1" w:rsidRDefault="0073645D" w:rsidP="0073645D">
      <w:pPr>
        <w:tabs>
          <w:tab w:val="left" w:pos="2268"/>
        </w:tabs>
        <w:spacing w:line="360" w:lineRule="auto"/>
        <w:ind w:firstLine="2977"/>
        <w:jc w:val="both"/>
      </w:pPr>
      <w:r w:rsidRPr="00821FB1">
        <w:rPr>
          <w:b/>
        </w:rPr>
        <w:t xml:space="preserve"> </w:t>
      </w:r>
      <w:r w:rsidR="00405405" w:rsidRPr="00821FB1">
        <w:rPr>
          <w:b/>
        </w:rPr>
        <w:t>6</w:t>
      </w:r>
      <w:r w:rsidR="00AF00A7" w:rsidRPr="00821FB1">
        <w:rPr>
          <w:b/>
        </w:rPr>
        <w:t>)</w:t>
      </w:r>
      <w:r w:rsidR="00AF00A7">
        <w:rPr>
          <w:b/>
        </w:rPr>
        <w:t xml:space="preserve"> </w:t>
      </w:r>
      <w:r w:rsidR="00AF00A7">
        <w:t xml:space="preserve">que se contravino el </w:t>
      </w:r>
      <w:r>
        <w:t>A</w:t>
      </w:r>
      <w:r w:rsidR="00AF00A7">
        <w:t xml:space="preserve">rtículo 66 </w:t>
      </w:r>
      <w:r>
        <w:t>I</w:t>
      </w:r>
      <w:r w:rsidR="00AF00A7">
        <w:t>nciso 2</w:t>
      </w:r>
      <w:r>
        <w:t>)</w:t>
      </w:r>
      <w:r w:rsidR="00AF00A7">
        <w:t xml:space="preserve">, en tanto no fueron consideradas en los informes técnicos las </w:t>
      </w:r>
      <w:r w:rsidR="001D0310">
        <w:t>Ofertas Números 1 y 3</w:t>
      </w:r>
      <w:r w:rsidR="00CD790A">
        <w:t xml:space="preserve"> (Resultandos 8 y 9)</w:t>
      </w:r>
      <w:r w:rsidR="001D0310">
        <w:t xml:space="preserve">, por haber sido señaladas como inadmisibles, por informe del </w:t>
      </w:r>
      <w:r w:rsidR="001D0310">
        <w:rPr>
          <w:bCs/>
        </w:rPr>
        <w:t>Asesor de la Dirección de Hacienda</w:t>
      </w:r>
      <w:r w:rsidR="001D0310">
        <w:t xml:space="preserve"> (Resultando 7), cometido que está reservado a la Comisión Asesora por la norma precitada, y fue cumplido por la </w:t>
      </w:r>
      <w:r w:rsidR="001D0310" w:rsidRPr="0073645D">
        <w:rPr>
          <w:spacing w:val="-10"/>
        </w:rPr>
        <w:t>misma en su actuación que es de fecha posterior a los informes técnicos</w:t>
      </w:r>
      <w:r w:rsidR="001D0310">
        <w:t xml:space="preserve"> referidos</w:t>
      </w:r>
      <w:r w:rsidR="00A272EE">
        <w:t>;</w:t>
      </w:r>
    </w:p>
    <w:p w:rsidR="008044C8" w:rsidRDefault="008044C8" w:rsidP="0073645D">
      <w:pPr>
        <w:spacing w:line="360" w:lineRule="auto"/>
        <w:ind w:firstLine="708"/>
        <w:jc w:val="both"/>
        <w:rPr>
          <w:rFonts w:cs="Arial"/>
          <w:bCs/>
          <w:lang w:val="es-MX"/>
        </w:rPr>
      </w:pPr>
      <w:r>
        <w:rPr>
          <w:rFonts w:cs="Arial"/>
          <w:b/>
          <w:lang w:val="es-MX"/>
        </w:rPr>
        <w:t>ATENTO:</w:t>
      </w:r>
      <w:r>
        <w:rPr>
          <w:rFonts w:cs="Arial"/>
          <w:bCs/>
          <w:lang w:val="es-MX"/>
        </w:rPr>
        <w:t xml:space="preserve"> a lo precedentemente expuesto</w:t>
      </w:r>
      <w:r w:rsidR="00821FB1">
        <w:rPr>
          <w:rFonts w:cs="Arial"/>
          <w:bCs/>
          <w:lang w:val="es-MX"/>
        </w:rPr>
        <w:t xml:space="preserve"> y a lo establecido en el </w:t>
      </w:r>
      <w:r w:rsidR="0073645D">
        <w:rPr>
          <w:rFonts w:cs="Arial"/>
          <w:bCs/>
          <w:lang w:val="es-MX"/>
        </w:rPr>
        <w:t>A</w:t>
      </w:r>
      <w:r w:rsidR="00821FB1">
        <w:rPr>
          <w:rFonts w:cs="Arial"/>
          <w:bCs/>
          <w:lang w:val="es-MX"/>
        </w:rPr>
        <w:t xml:space="preserve">rtículo 211 </w:t>
      </w:r>
      <w:r w:rsidR="0073645D">
        <w:rPr>
          <w:rFonts w:cs="Arial"/>
          <w:bCs/>
          <w:lang w:val="es-MX"/>
        </w:rPr>
        <w:t>L</w:t>
      </w:r>
      <w:r w:rsidR="00821FB1">
        <w:rPr>
          <w:rFonts w:cs="Arial"/>
          <w:bCs/>
          <w:lang w:val="es-MX"/>
        </w:rPr>
        <w:t>iteral E) de la Constitución de la República</w:t>
      </w:r>
      <w:r>
        <w:rPr>
          <w:rFonts w:cs="Arial"/>
          <w:bCs/>
          <w:lang w:val="es-MX"/>
        </w:rPr>
        <w:t>;</w:t>
      </w:r>
    </w:p>
    <w:p w:rsidR="008044C8" w:rsidRPr="0073645D" w:rsidRDefault="008044C8">
      <w:pPr>
        <w:pStyle w:val="Ttulo1"/>
        <w:jc w:val="center"/>
        <w:rPr>
          <w:bCs/>
        </w:rPr>
      </w:pPr>
      <w:r w:rsidRPr="0073645D">
        <w:rPr>
          <w:bCs/>
        </w:rPr>
        <w:t>EL TRIBUNAL ACUERDA</w:t>
      </w:r>
    </w:p>
    <w:p w:rsidR="008044C8" w:rsidRDefault="00F53657" w:rsidP="002D22E4">
      <w:pPr>
        <w:spacing w:line="360" w:lineRule="auto"/>
        <w:jc w:val="both"/>
      </w:pPr>
      <w:r w:rsidRPr="00F53657">
        <w:rPr>
          <w:rFonts w:cs="Arial"/>
          <w:b/>
          <w:bCs/>
          <w:lang w:val="es-MX"/>
        </w:rPr>
        <w:t>1)</w:t>
      </w:r>
      <w:r>
        <w:rPr>
          <w:rFonts w:cs="Arial"/>
          <w:bCs/>
          <w:lang w:val="es-MX"/>
        </w:rPr>
        <w:t xml:space="preserve"> </w:t>
      </w:r>
      <w:r w:rsidR="008044C8">
        <w:rPr>
          <w:rFonts w:cs="Arial"/>
          <w:bCs/>
          <w:lang w:val="es-MX"/>
        </w:rPr>
        <w:t xml:space="preserve">Observar el </w:t>
      </w:r>
      <w:r w:rsidR="00716EC9">
        <w:rPr>
          <w:rFonts w:cs="Arial"/>
          <w:bCs/>
          <w:lang w:val="es-MX"/>
        </w:rPr>
        <w:t>procedimiento;</w:t>
      </w:r>
    </w:p>
    <w:p w:rsidR="002D22E4" w:rsidRDefault="002D22E4" w:rsidP="002D22E4">
      <w:pPr>
        <w:spacing w:line="360" w:lineRule="auto"/>
        <w:jc w:val="both"/>
        <w:rPr>
          <w:b/>
          <w:bCs/>
          <w:lang w:val="es-MX"/>
        </w:rPr>
      </w:pPr>
      <w:r w:rsidRPr="002D22E4">
        <w:rPr>
          <w:b/>
        </w:rPr>
        <w:t>2)</w:t>
      </w:r>
      <w:r>
        <w:t xml:space="preserve"> Dar cuenta a la Junta Departamental de Maldonado;</w:t>
      </w:r>
      <w:r w:rsidR="0073645D">
        <w:t xml:space="preserve"> y</w:t>
      </w:r>
    </w:p>
    <w:p w:rsidR="002D22E4" w:rsidRDefault="002D22E4" w:rsidP="002D22E4">
      <w:pPr>
        <w:spacing w:line="360" w:lineRule="auto"/>
        <w:jc w:val="both"/>
        <w:rPr>
          <w:rFonts w:cs="Arial"/>
          <w:bCs/>
        </w:rPr>
      </w:pPr>
      <w:r w:rsidRPr="002D22E4">
        <w:rPr>
          <w:rFonts w:cs="Arial"/>
          <w:b/>
          <w:bCs/>
        </w:rPr>
        <w:t>3)</w:t>
      </w:r>
      <w:r>
        <w:rPr>
          <w:rFonts w:cs="Arial"/>
          <w:bCs/>
        </w:rPr>
        <w:t xml:space="preserve"> Comunicar la presente Resolución a la Intendencia de Maldonado.</w:t>
      </w:r>
    </w:p>
    <w:p w:rsidR="0001081F" w:rsidRPr="0001081F" w:rsidRDefault="0001081F" w:rsidP="002D22E4">
      <w:pPr>
        <w:spacing w:line="360" w:lineRule="auto"/>
        <w:jc w:val="both"/>
        <w:rPr>
          <w:bCs/>
          <w:lang w:val="es-MX"/>
        </w:rPr>
      </w:pPr>
      <w:r w:rsidRPr="0001081F">
        <w:rPr>
          <w:rFonts w:cs="Arial"/>
          <w:b/>
          <w:bCs/>
        </w:rPr>
        <w:t>4)</w:t>
      </w:r>
      <w:r>
        <w:rPr>
          <w:rFonts w:cs="Arial"/>
          <w:b/>
          <w:bCs/>
        </w:rPr>
        <w:t xml:space="preserve"> </w:t>
      </w:r>
      <w:r>
        <w:rPr>
          <w:rFonts w:cs="Arial"/>
          <w:bCs/>
        </w:rPr>
        <w:t>Devolver las actuaciones.</w:t>
      </w:r>
    </w:p>
    <w:p w:rsidR="0073645D" w:rsidRDefault="0073645D" w:rsidP="00BD77BB">
      <w:pPr>
        <w:spacing w:line="360" w:lineRule="auto"/>
        <w:jc w:val="both"/>
        <w:rPr>
          <w:rFonts w:cs="Arial"/>
          <w:bCs/>
        </w:rPr>
      </w:pPr>
      <w:bookmarkStart w:id="0" w:name="_GoBack"/>
      <w:bookmarkEnd w:id="0"/>
      <w:proofErr w:type="spellStart"/>
      <w:proofErr w:type="gramStart"/>
      <w:r>
        <w:rPr>
          <w:rFonts w:cs="Arial"/>
          <w:bCs/>
        </w:rPr>
        <w:t>cr</w:t>
      </w:r>
      <w:proofErr w:type="spellEnd"/>
      <w:proofErr w:type="gramEnd"/>
    </w:p>
    <w:sectPr w:rsidR="0073645D" w:rsidSect="0001081F">
      <w:footerReference w:type="even" r:id="rId9"/>
      <w:footerReference w:type="default" r:id="rId10"/>
      <w:pgSz w:w="11907" w:h="16840" w:code="9"/>
      <w:pgMar w:top="3402"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84" w:rsidRDefault="00733684">
      <w:r>
        <w:separator/>
      </w:r>
    </w:p>
  </w:endnote>
  <w:endnote w:type="continuationSeparator" w:id="0">
    <w:p w:rsidR="00733684" w:rsidRDefault="0073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6B" w:rsidRDefault="0065646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5646B" w:rsidRDefault="006564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6B" w:rsidRDefault="0065646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081F">
      <w:rPr>
        <w:rStyle w:val="Nmerodepgina"/>
        <w:noProof/>
      </w:rPr>
      <w:t>4</w:t>
    </w:r>
    <w:r>
      <w:rPr>
        <w:rStyle w:val="Nmerodepgina"/>
      </w:rPr>
      <w:fldChar w:fldCharType="end"/>
    </w:r>
  </w:p>
  <w:p w:rsidR="0065646B" w:rsidRDefault="006564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84" w:rsidRDefault="00733684">
      <w:r>
        <w:separator/>
      </w:r>
    </w:p>
  </w:footnote>
  <w:footnote w:type="continuationSeparator" w:id="0">
    <w:p w:rsidR="00733684" w:rsidRDefault="00733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636AD68"/>
    <w:lvl w:ilvl="0" w:tplc="0254AC12">
      <w:start w:val="1"/>
      <w:numFmt w:val="decimal"/>
      <w:lvlText w:val="%1)"/>
      <w:lvlJc w:val="left"/>
      <w:pPr>
        <w:tabs>
          <w:tab w:val="num" w:pos="675"/>
        </w:tabs>
        <w:ind w:left="675" w:hanging="360"/>
      </w:pPr>
      <w:rPr>
        <w:rFonts w:cs="Arial" w:hint="default"/>
      </w:rPr>
    </w:lvl>
    <w:lvl w:ilvl="1" w:tplc="0C0A0019" w:tentative="1">
      <w:start w:val="1"/>
      <w:numFmt w:val="lowerLetter"/>
      <w:lvlText w:val="%2."/>
      <w:lvlJc w:val="left"/>
      <w:pPr>
        <w:tabs>
          <w:tab w:val="num" w:pos="1395"/>
        </w:tabs>
        <w:ind w:left="1395" w:hanging="360"/>
      </w:pPr>
    </w:lvl>
    <w:lvl w:ilvl="2" w:tplc="0C0A001B" w:tentative="1">
      <w:start w:val="1"/>
      <w:numFmt w:val="lowerRoman"/>
      <w:lvlText w:val="%3."/>
      <w:lvlJc w:val="right"/>
      <w:pPr>
        <w:tabs>
          <w:tab w:val="num" w:pos="2115"/>
        </w:tabs>
        <w:ind w:left="2115" w:hanging="180"/>
      </w:pPr>
    </w:lvl>
    <w:lvl w:ilvl="3" w:tplc="0C0A000F" w:tentative="1">
      <w:start w:val="1"/>
      <w:numFmt w:val="decimal"/>
      <w:lvlText w:val="%4."/>
      <w:lvlJc w:val="left"/>
      <w:pPr>
        <w:tabs>
          <w:tab w:val="num" w:pos="2835"/>
        </w:tabs>
        <w:ind w:left="2835" w:hanging="360"/>
      </w:pPr>
    </w:lvl>
    <w:lvl w:ilvl="4" w:tplc="0C0A0019" w:tentative="1">
      <w:start w:val="1"/>
      <w:numFmt w:val="lowerLetter"/>
      <w:lvlText w:val="%5."/>
      <w:lvlJc w:val="left"/>
      <w:pPr>
        <w:tabs>
          <w:tab w:val="num" w:pos="3555"/>
        </w:tabs>
        <w:ind w:left="3555" w:hanging="360"/>
      </w:pPr>
    </w:lvl>
    <w:lvl w:ilvl="5" w:tplc="0C0A001B" w:tentative="1">
      <w:start w:val="1"/>
      <w:numFmt w:val="lowerRoman"/>
      <w:lvlText w:val="%6."/>
      <w:lvlJc w:val="right"/>
      <w:pPr>
        <w:tabs>
          <w:tab w:val="num" w:pos="4275"/>
        </w:tabs>
        <w:ind w:left="4275" w:hanging="180"/>
      </w:pPr>
    </w:lvl>
    <w:lvl w:ilvl="6" w:tplc="0C0A000F" w:tentative="1">
      <w:start w:val="1"/>
      <w:numFmt w:val="decimal"/>
      <w:lvlText w:val="%7."/>
      <w:lvlJc w:val="left"/>
      <w:pPr>
        <w:tabs>
          <w:tab w:val="num" w:pos="4995"/>
        </w:tabs>
        <w:ind w:left="4995" w:hanging="360"/>
      </w:pPr>
    </w:lvl>
    <w:lvl w:ilvl="7" w:tplc="0C0A0019" w:tentative="1">
      <w:start w:val="1"/>
      <w:numFmt w:val="lowerLetter"/>
      <w:lvlText w:val="%8."/>
      <w:lvlJc w:val="left"/>
      <w:pPr>
        <w:tabs>
          <w:tab w:val="num" w:pos="5715"/>
        </w:tabs>
        <w:ind w:left="5715" w:hanging="360"/>
      </w:pPr>
    </w:lvl>
    <w:lvl w:ilvl="8" w:tplc="0C0A001B" w:tentative="1">
      <w:start w:val="1"/>
      <w:numFmt w:val="lowerRoman"/>
      <w:lvlText w:val="%9."/>
      <w:lvlJc w:val="right"/>
      <w:pPr>
        <w:tabs>
          <w:tab w:val="num" w:pos="6435"/>
        </w:tabs>
        <w:ind w:left="6435" w:hanging="180"/>
      </w:pPr>
    </w:lvl>
  </w:abstractNum>
  <w:abstractNum w:abstractNumId="1">
    <w:nsid w:val="31FD7747"/>
    <w:multiLevelType w:val="hybridMultilevel"/>
    <w:tmpl w:val="2584B494"/>
    <w:lvl w:ilvl="0" w:tplc="E21E3942">
      <w:start w:val="2"/>
      <w:numFmt w:val="decimal"/>
      <w:lvlText w:val="%1)"/>
      <w:lvlJc w:val="left"/>
      <w:pPr>
        <w:tabs>
          <w:tab w:val="num" w:pos="720"/>
        </w:tabs>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3D3217"/>
    <w:multiLevelType w:val="hybridMultilevel"/>
    <w:tmpl w:val="73B439F2"/>
    <w:lvl w:ilvl="0" w:tplc="73BC7E58">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0AA4173"/>
    <w:multiLevelType w:val="hybridMultilevel"/>
    <w:tmpl w:val="E9BC7628"/>
    <w:lvl w:ilvl="0" w:tplc="1D6ACC66">
      <w:start w:val="1"/>
      <w:numFmt w:val="decimal"/>
      <w:lvlText w:val="%1)"/>
      <w:lvlJc w:val="left"/>
      <w:pPr>
        <w:tabs>
          <w:tab w:val="num" w:pos="720"/>
        </w:tabs>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A825C2"/>
    <w:multiLevelType w:val="hybridMultilevel"/>
    <w:tmpl w:val="DD3C0B2A"/>
    <w:lvl w:ilvl="0" w:tplc="8500E3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88"/>
    <w:rsid w:val="00003A34"/>
    <w:rsid w:val="0001081F"/>
    <w:rsid w:val="00033158"/>
    <w:rsid w:val="00037FF5"/>
    <w:rsid w:val="00044156"/>
    <w:rsid w:val="0007097C"/>
    <w:rsid w:val="000C2E32"/>
    <w:rsid w:val="000D145C"/>
    <w:rsid w:val="000E0EEF"/>
    <w:rsid w:val="00116B49"/>
    <w:rsid w:val="001833E6"/>
    <w:rsid w:val="001D0310"/>
    <w:rsid w:val="00215EEE"/>
    <w:rsid w:val="0026446D"/>
    <w:rsid w:val="002764CE"/>
    <w:rsid w:val="002B45A5"/>
    <w:rsid w:val="002D22E4"/>
    <w:rsid w:val="002F0E46"/>
    <w:rsid w:val="003020DA"/>
    <w:rsid w:val="003078A6"/>
    <w:rsid w:val="00311067"/>
    <w:rsid w:val="003131DF"/>
    <w:rsid w:val="00314DE6"/>
    <w:rsid w:val="003262F2"/>
    <w:rsid w:val="00343FAE"/>
    <w:rsid w:val="003457B6"/>
    <w:rsid w:val="003600E6"/>
    <w:rsid w:val="003C2BEE"/>
    <w:rsid w:val="003D53E9"/>
    <w:rsid w:val="003E0E7F"/>
    <w:rsid w:val="003E1643"/>
    <w:rsid w:val="003F66B8"/>
    <w:rsid w:val="00405405"/>
    <w:rsid w:val="00415B92"/>
    <w:rsid w:val="00490C1D"/>
    <w:rsid w:val="004A7A50"/>
    <w:rsid w:val="004C0E2D"/>
    <w:rsid w:val="00504202"/>
    <w:rsid w:val="005357F4"/>
    <w:rsid w:val="00547DD8"/>
    <w:rsid w:val="00550BD7"/>
    <w:rsid w:val="005546A9"/>
    <w:rsid w:val="0065646B"/>
    <w:rsid w:val="00676045"/>
    <w:rsid w:val="006D67C3"/>
    <w:rsid w:val="00710D5E"/>
    <w:rsid w:val="00716EC9"/>
    <w:rsid w:val="00733684"/>
    <w:rsid w:val="0073645D"/>
    <w:rsid w:val="00742854"/>
    <w:rsid w:val="007A73C8"/>
    <w:rsid w:val="007B23C5"/>
    <w:rsid w:val="007E6892"/>
    <w:rsid w:val="008016F3"/>
    <w:rsid w:val="008044C8"/>
    <w:rsid w:val="008134F2"/>
    <w:rsid w:val="00815753"/>
    <w:rsid w:val="00821FB1"/>
    <w:rsid w:val="00833FE9"/>
    <w:rsid w:val="00882F6F"/>
    <w:rsid w:val="008A6C4E"/>
    <w:rsid w:val="008A6F88"/>
    <w:rsid w:val="008D3FC2"/>
    <w:rsid w:val="008D5B10"/>
    <w:rsid w:val="0095097B"/>
    <w:rsid w:val="00993C19"/>
    <w:rsid w:val="009A2639"/>
    <w:rsid w:val="009B4C80"/>
    <w:rsid w:val="00A1296C"/>
    <w:rsid w:val="00A272EE"/>
    <w:rsid w:val="00A55BD9"/>
    <w:rsid w:val="00A6719F"/>
    <w:rsid w:val="00A6780D"/>
    <w:rsid w:val="00AB2F76"/>
    <w:rsid w:val="00AD2F1F"/>
    <w:rsid w:val="00AD4464"/>
    <w:rsid w:val="00AE5774"/>
    <w:rsid w:val="00AF00A7"/>
    <w:rsid w:val="00B0226C"/>
    <w:rsid w:val="00B42545"/>
    <w:rsid w:val="00B6790E"/>
    <w:rsid w:val="00B84A09"/>
    <w:rsid w:val="00B957DD"/>
    <w:rsid w:val="00BB03A1"/>
    <w:rsid w:val="00BD69F7"/>
    <w:rsid w:val="00BD77BB"/>
    <w:rsid w:val="00C25256"/>
    <w:rsid w:val="00C454B1"/>
    <w:rsid w:val="00C7545C"/>
    <w:rsid w:val="00C9580D"/>
    <w:rsid w:val="00C97E3E"/>
    <w:rsid w:val="00CB621D"/>
    <w:rsid w:val="00CD790A"/>
    <w:rsid w:val="00CF256F"/>
    <w:rsid w:val="00D01834"/>
    <w:rsid w:val="00D622AE"/>
    <w:rsid w:val="00D62610"/>
    <w:rsid w:val="00D777FB"/>
    <w:rsid w:val="00E00031"/>
    <w:rsid w:val="00E1786A"/>
    <w:rsid w:val="00E31CE3"/>
    <w:rsid w:val="00E721AC"/>
    <w:rsid w:val="00EB2C7D"/>
    <w:rsid w:val="00EC75C1"/>
    <w:rsid w:val="00ED0B41"/>
    <w:rsid w:val="00ED4649"/>
    <w:rsid w:val="00EE1911"/>
    <w:rsid w:val="00EE3902"/>
    <w:rsid w:val="00F21F0D"/>
    <w:rsid w:val="00F53657"/>
    <w:rsid w:val="00F80CE5"/>
    <w:rsid w:val="00F92CB7"/>
    <w:rsid w:val="00FF3D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uiPriority w:val="99"/>
    <w:unhideWhenUsed/>
    <w:rsid w:val="00BD77BB"/>
    <w:rPr>
      <w:color w:val="0000FF"/>
      <w:u w:val="single"/>
    </w:rPr>
  </w:style>
  <w:style w:type="paragraph" w:styleId="Textodeglobo">
    <w:name w:val="Balloon Text"/>
    <w:basedOn w:val="Normal"/>
    <w:link w:val="TextodegloboCar"/>
    <w:uiPriority w:val="99"/>
    <w:semiHidden/>
    <w:unhideWhenUsed/>
    <w:rsid w:val="00716EC9"/>
    <w:rPr>
      <w:rFonts w:ascii="Tahoma" w:hAnsi="Tahoma" w:cs="Tahoma"/>
      <w:sz w:val="16"/>
      <w:szCs w:val="16"/>
    </w:rPr>
  </w:style>
  <w:style w:type="character" w:customStyle="1" w:styleId="TextodegloboCar">
    <w:name w:val="Texto de globo Car"/>
    <w:link w:val="Textodeglobo"/>
    <w:uiPriority w:val="99"/>
    <w:semiHidden/>
    <w:rsid w:val="00716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paragraph" w:styleId="Ttulo2">
    <w:name w:val="heading 2"/>
    <w:basedOn w:val="Normal"/>
    <w:next w:val="Normal"/>
    <w:qFormat/>
    <w:pPr>
      <w:keepNext/>
      <w:spacing w:line="360" w:lineRule="auto"/>
      <w:jc w:val="center"/>
      <w:outlineLvl w:val="1"/>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uiPriority w:val="99"/>
    <w:unhideWhenUsed/>
    <w:rsid w:val="00BD77BB"/>
    <w:rPr>
      <w:color w:val="0000FF"/>
      <w:u w:val="single"/>
    </w:rPr>
  </w:style>
  <w:style w:type="paragraph" w:styleId="Textodeglobo">
    <w:name w:val="Balloon Text"/>
    <w:basedOn w:val="Normal"/>
    <w:link w:val="TextodegloboCar"/>
    <w:uiPriority w:val="99"/>
    <w:semiHidden/>
    <w:unhideWhenUsed/>
    <w:rsid w:val="00716EC9"/>
    <w:rPr>
      <w:rFonts w:ascii="Tahoma" w:hAnsi="Tahoma" w:cs="Tahoma"/>
      <w:sz w:val="16"/>
      <w:szCs w:val="16"/>
    </w:rPr>
  </w:style>
  <w:style w:type="character" w:customStyle="1" w:styleId="TextodegloboCar">
    <w:name w:val="Texto de globo Car"/>
    <w:link w:val="Textodeglobo"/>
    <w:uiPriority w:val="99"/>
    <w:semiHidden/>
    <w:rsid w:val="00716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5C4D-DD7C-4140-BE85-8203AE2C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5961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7123</CharactersWithSpaces>
  <SharedDoc>false</SharedDoc>
  <HLinks>
    <vt:vector size="6" baseType="variant">
      <vt:variant>
        <vt:i4>6553669</vt:i4>
      </vt:variant>
      <vt:variant>
        <vt:i4>0</vt:i4>
      </vt:variant>
      <vt:variant>
        <vt:i4>0</vt:i4>
      </vt:variant>
      <vt:variant>
        <vt:i4>5</vt:i4>
      </vt:variant>
      <vt:variant>
        <vt:lpwstr>\\Tcrnw03\vol1\USUARIOS\JUR-GDEP\Misdocumentos\CONCESIONES\MALDONADO\2013-17-1-0006857 v2.doc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cp:lastModifiedBy>Cecilia Casagrande</cp:lastModifiedBy>
  <cp:revision>3</cp:revision>
  <cp:lastPrinted>2013-12-03T16:16:00Z</cp:lastPrinted>
  <dcterms:created xsi:type="dcterms:W3CDTF">2013-11-29T17:54:00Z</dcterms:created>
  <dcterms:modified xsi:type="dcterms:W3CDTF">2013-12-03T16:16:00Z</dcterms:modified>
</cp:coreProperties>
</file>