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78" w:rsidRDefault="00C456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C45678" w:rsidRDefault="00C4567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45678" w:rsidRDefault="00C456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45678" w:rsidRDefault="00C4567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45678" w:rsidRDefault="00C456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20 DE NOVIEMBRE   2013</w:t>
      </w:r>
    </w:p>
    <w:p w:rsidR="00C45678" w:rsidRDefault="00C456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45678" w:rsidRPr="00C45678" w:rsidRDefault="00C456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C45678">
        <w:rPr>
          <w:rFonts w:ascii="Helvetica" w:hAnsi="Helvetica"/>
          <w:b/>
          <w:lang w:val="es-UY"/>
        </w:rPr>
        <w:t>(E. E. Nº 2013-17-1-0007086, Ent. N° 6131/13.)</w:t>
      </w:r>
    </w:p>
    <w:p w:rsidR="00C45678" w:rsidRPr="00C45678" w:rsidRDefault="00C45678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C45678" w:rsidRPr="00C45678" w:rsidRDefault="00C45678">
      <w:pPr>
        <w:tabs>
          <w:tab w:val="center" w:pos="4253"/>
        </w:tabs>
        <w:suppressAutoHyphens/>
        <w:rPr>
          <w:spacing w:val="-3"/>
          <w:lang w:val="es-UY"/>
        </w:rPr>
      </w:pPr>
    </w:p>
    <w:p w:rsidR="00704B7D" w:rsidRDefault="00A5356D">
      <w:pPr>
        <w:suppressAutoHyphens/>
        <w:spacing w:line="360" w:lineRule="auto"/>
        <w:ind w:firstLine="708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 xml:space="preserve">VISTO: </w:t>
      </w:r>
      <w:r>
        <w:rPr>
          <w:spacing w:val="-3"/>
          <w:lang w:val="es-ES_tradnl"/>
        </w:rPr>
        <w:t xml:space="preserve">las actuaciones remitidas por el Contador Delegado en la Intendencia de Canelones, relacionadas con el convenio suscrito con la Oficina de Planeamiento y Presupuesto (OPP);     </w:t>
      </w:r>
    </w:p>
    <w:p w:rsidR="00704B7D" w:rsidRDefault="00A5356D">
      <w:pPr>
        <w:suppressAutoHyphens/>
        <w:spacing w:line="360" w:lineRule="auto"/>
        <w:ind w:firstLine="708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RESULTANDO: 1)</w:t>
      </w:r>
      <w:r>
        <w:rPr>
          <w:spacing w:val="-3"/>
          <w:lang w:val="es-ES_tradnl"/>
        </w:rPr>
        <w:t xml:space="preserve"> que el Programa Uruguay Integra se propone incrementar el nivel de eficacia y eficiencia en la articulación de políticas nacionales con iniciativas de base territorial para la promoción del desarrollo territorial inclusivo;</w:t>
      </w:r>
    </w:p>
    <w:p w:rsidR="00704B7D" w:rsidRDefault="00A5356D" w:rsidP="00C45678">
      <w:pPr>
        <w:suppressAutoHyphens/>
        <w:spacing w:line="360" w:lineRule="auto"/>
        <w:ind w:firstLine="2694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2)</w:t>
      </w:r>
      <w:r>
        <w:rPr>
          <w:spacing w:val="-3"/>
          <w:lang w:val="es-ES_tradnl"/>
        </w:rPr>
        <w:t xml:space="preserve"> que mediante estrategias institucionales plasmadas en el Plan Estratégico Canario desarrolladas por la Intendencia de Canelones, se establecen prioridades de intervención y áreas territoriales específicas de actuación con el objetivo de promover la calidad de vida de la población de los Municipios de Las Piedras y Progreso, en particular de familias de adolescentes y jóvenes, en los barrios  de Vista Linda y el Dorado para la reinserción educativa y laboral, fortaleciendo el entramado social y promoviendo la convivencia ciudadana;</w:t>
      </w:r>
    </w:p>
    <w:p w:rsidR="00704B7D" w:rsidRDefault="00A5356D" w:rsidP="00C45678">
      <w:pPr>
        <w:suppressAutoHyphens/>
        <w:spacing w:line="360" w:lineRule="auto"/>
        <w:ind w:firstLine="2694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3)</w:t>
      </w:r>
      <w:r>
        <w:rPr>
          <w:spacing w:val="-3"/>
          <w:lang w:val="es-ES_tradnl"/>
        </w:rPr>
        <w:t xml:space="preserve"> que en el marco del Programa de Desarrollo Social y de fortalecimiento Institucional que llevan adelante el Gobierno de la República y la Comunidad Europea donde se acuerda como prioridad el impulso de un programa denominado Apoyo a la Cohesión Social y Territorial-Programa Uruguay Integra, con fecha 05.09.2013 la Intendencia de Canelones firmó un convenio con la O.P.P., cuyo objeto es la concesión por parte de OPP/Programa Uruguay Integra de una subvención para la ejecución de la acción denominada “Canelones de Cerca;  </w:t>
      </w:r>
    </w:p>
    <w:p w:rsidR="00C45678" w:rsidRDefault="00C45678">
      <w:pPr>
        <w:suppressAutoHyphens/>
        <w:spacing w:line="360" w:lineRule="auto"/>
        <w:ind w:firstLine="708"/>
        <w:jc w:val="both"/>
        <w:rPr>
          <w:spacing w:val="-3"/>
          <w:lang w:val="es-ES_tradnl"/>
        </w:rPr>
      </w:pPr>
    </w:p>
    <w:p w:rsidR="00704B7D" w:rsidRDefault="00A5356D" w:rsidP="00C45678">
      <w:pPr>
        <w:suppressAutoHyphens/>
        <w:spacing w:line="360" w:lineRule="auto"/>
        <w:ind w:firstLine="2694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4)</w:t>
      </w:r>
      <w:r>
        <w:rPr>
          <w:spacing w:val="-3"/>
          <w:lang w:val="es-ES_tradnl"/>
        </w:rPr>
        <w:t xml:space="preserve"> que la Intendencia acepta la subvención y se obliga a utilizarla en la ejecución de la Acción, conjuntamente con sus socios, de acuerdo al Proyecto presentado y aprobado que se anexa; </w:t>
      </w:r>
    </w:p>
    <w:p w:rsidR="00704B7D" w:rsidRDefault="00A5356D" w:rsidP="00C45678">
      <w:pPr>
        <w:suppressAutoHyphens/>
        <w:spacing w:line="360" w:lineRule="auto"/>
        <w:ind w:firstLine="2694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5)</w:t>
      </w:r>
      <w:r>
        <w:rPr>
          <w:spacing w:val="-3"/>
          <w:lang w:val="es-ES_tradnl"/>
        </w:rPr>
        <w:t xml:space="preserve"> que el Contrato entrará en vigor en el día de su firma y la duración del mismo comprende un mes de instalación </w:t>
      </w:r>
      <w:r w:rsidR="00C45678">
        <w:rPr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(mes 0) y 18 meses de ejecución. Los gastos incurridos durante el mes 0 son gastos elegibles;</w:t>
      </w:r>
    </w:p>
    <w:p w:rsidR="00704B7D" w:rsidRDefault="00A5356D" w:rsidP="00C45678">
      <w:pPr>
        <w:suppressAutoHyphens/>
        <w:spacing w:line="360" w:lineRule="auto"/>
        <w:ind w:firstLine="2694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 xml:space="preserve">6) </w:t>
      </w:r>
      <w:r>
        <w:rPr>
          <w:spacing w:val="-3"/>
          <w:lang w:val="es-ES_tradnl"/>
        </w:rPr>
        <w:t xml:space="preserve">que el costo total de la acción es de $ 20.225.500. La </w:t>
      </w:r>
      <w:r w:rsidRPr="00C45678">
        <w:rPr>
          <w:spacing w:val="12"/>
          <w:lang w:val="es-ES_tradnl"/>
        </w:rPr>
        <w:t>OPP se compromete a financiar la acción hasta un importe máximo de $</w:t>
      </w:r>
      <w:r>
        <w:rPr>
          <w:spacing w:val="-3"/>
          <w:lang w:val="es-ES_tradnl"/>
        </w:rPr>
        <w:t xml:space="preserve"> 8.100.000, y la Intendencia y sus socios (CODICEN.- UTU, MIDES, Comisión de Seguimiento Convenio Intendencia de Canelones - INEFOP, MTSS-DINAE, Municipios de Las Piedras y Progreso), se comprometen a financiar un aporte mínimo de $ 1.620.000 como contrapartida correspondiente al 20% de la </w:t>
      </w:r>
      <w:r w:rsidRPr="00C45678">
        <w:rPr>
          <w:spacing w:val="6"/>
          <w:lang w:val="es-ES_tradnl"/>
        </w:rPr>
        <w:t>subvención solicitada. Asimismo se prevé un aporte adicional estimado en $</w:t>
      </w:r>
      <w:r>
        <w:rPr>
          <w:spacing w:val="-3"/>
          <w:lang w:val="es-ES_tradnl"/>
        </w:rPr>
        <w:t xml:space="preserve"> 10.505.000; </w:t>
      </w:r>
    </w:p>
    <w:p w:rsidR="00704B7D" w:rsidRDefault="00A5356D" w:rsidP="00C45678">
      <w:pPr>
        <w:suppressAutoHyphens/>
        <w:spacing w:line="360" w:lineRule="auto"/>
        <w:ind w:firstLine="2694"/>
        <w:jc w:val="both"/>
        <w:rPr>
          <w:b/>
          <w:spacing w:val="-3"/>
          <w:lang w:val="es-ES_tradnl"/>
        </w:rPr>
      </w:pPr>
      <w:r>
        <w:rPr>
          <w:b/>
          <w:spacing w:val="-3"/>
          <w:lang w:val="es-ES_tradnl"/>
        </w:rPr>
        <w:t>7)</w:t>
      </w:r>
      <w:r>
        <w:rPr>
          <w:spacing w:val="-3"/>
          <w:lang w:val="es-ES_tradnl"/>
        </w:rPr>
        <w:t xml:space="preserve"> que además la Intendencia se obliga, entre otros, a administrar los fondos recibidos de acuerdo </w:t>
      </w:r>
      <w:r w:rsidR="00C45678">
        <w:rPr>
          <w:spacing w:val="-3"/>
          <w:lang w:val="es-ES_tradnl"/>
        </w:rPr>
        <w:t xml:space="preserve">con </w:t>
      </w:r>
      <w:r>
        <w:rPr>
          <w:spacing w:val="-3"/>
          <w:lang w:val="es-ES_tradnl"/>
        </w:rPr>
        <w:t xml:space="preserve"> la normativa vigente, compilada en el TOCAF, manteniendo archivo  de los comprobantes de gastos incurrido en el marco del contrato; debe anticipar los gastos correspondientes al 5% de la subvención que le serán reembolsados una vez que se apruebe el Informe Final del Proyecto;  </w:t>
      </w:r>
    </w:p>
    <w:p w:rsidR="00704B7D" w:rsidRDefault="00A5356D" w:rsidP="00C45678">
      <w:pPr>
        <w:suppressAutoHyphens/>
        <w:spacing w:line="360" w:lineRule="auto"/>
        <w:ind w:firstLine="2694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8)</w:t>
      </w:r>
      <w:r>
        <w:rPr>
          <w:spacing w:val="-3"/>
          <w:lang w:val="es-ES_tradnl"/>
        </w:rPr>
        <w:t xml:space="preserve"> que la OPP/Programa Uruguay Integra se obliga a: transferir la subvención en varios pagos: a) pago inicial de acuerdo a la solicitud, correspondiente al gasto previsto durante los primeros seis meses de ejecución; b) los desembolsos posteriores (hasta el 95%) del total de la subvención) se realizarán mediante solicitudes, previa aprobación de los informes trimestrales, técnicos y financieros; c) el pago final por hasta el 5 % de la subvención que se reintegrará una vez la OPP apruebe el Informe Final del Proyecto (técnico y financiero);</w:t>
      </w:r>
    </w:p>
    <w:p w:rsidR="00704B7D" w:rsidRDefault="00A5356D" w:rsidP="00C45678">
      <w:pPr>
        <w:suppressAutoHyphens/>
        <w:spacing w:line="360" w:lineRule="auto"/>
        <w:ind w:firstLine="2694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lastRenderedPageBreak/>
        <w:t>9)</w:t>
      </w:r>
      <w:r>
        <w:rPr>
          <w:spacing w:val="-3"/>
          <w:lang w:val="es-ES_tradnl"/>
        </w:rPr>
        <w:t xml:space="preserve"> que por Resolución Nº 13/05162 de fecha 26/09/2013 el Intendente dispuso ratificar el convenio de referencia, celebrado en el marco del Programa de Desarrollo Social, el Programa de Apoyo a la Cohesión Social y Territorial y el Programa Uruguay Integra; </w:t>
      </w:r>
    </w:p>
    <w:p w:rsidR="00704B7D" w:rsidRDefault="00A5356D" w:rsidP="00C45678">
      <w:pPr>
        <w:suppressAutoHyphens/>
        <w:spacing w:line="360" w:lineRule="auto"/>
        <w:ind w:firstLine="2694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10)</w:t>
      </w:r>
      <w:r>
        <w:rPr>
          <w:spacing w:val="-3"/>
          <w:lang w:val="es-ES_tradnl"/>
        </w:rPr>
        <w:t xml:space="preserve"> que con fecha 15/10/13 se procedió a abrir una cuenta corriente “I.M.C. Canelones de Cerca” Nº 004-000795-2;</w:t>
      </w:r>
    </w:p>
    <w:p w:rsidR="00704B7D" w:rsidRDefault="00A5356D">
      <w:pPr>
        <w:suppressAutoHyphens/>
        <w:spacing w:line="360" w:lineRule="auto"/>
        <w:jc w:val="both"/>
        <w:rPr>
          <w:b/>
          <w:spacing w:val="-3"/>
          <w:lang w:val="es-ES_tradnl"/>
        </w:rPr>
      </w:pPr>
      <w:r>
        <w:rPr>
          <w:spacing w:val="-3"/>
          <w:lang w:val="es-ES_tradnl"/>
        </w:rPr>
        <w:t xml:space="preserve">                                         </w:t>
      </w:r>
      <w:r w:rsidR="00D15AF0">
        <w:rPr>
          <w:spacing w:val="-3"/>
          <w:lang w:val="es-ES_tradnl"/>
        </w:rPr>
        <w:t xml:space="preserve">  </w:t>
      </w:r>
      <w:r>
        <w:rPr>
          <w:b/>
          <w:spacing w:val="-3"/>
          <w:lang w:val="es-ES_tradnl"/>
        </w:rPr>
        <w:t xml:space="preserve">11) </w:t>
      </w:r>
      <w:r>
        <w:rPr>
          <w:spacing w:val="-3"/>
          <w:lang w:val="es-ES_tradnl"/>
        </w:rPr>
        <w:t>que las actuaciones ingresaron con fecha 31/10/13;</w:t>
      </w:r>
      <w:r>
        <w:rPr>
          <w:b/>
          <w:spacing w:val="-3"/>
          <w:lang w:val="es-ES_tradnl"/>
        </w:rPr>
        <w:t xml:space="preserve">                                           </w:t>
      </w:r>
      <w:r>
        <w:rPr>
          <w:b/>
          <w:bCs/>
          <w:spacing w:val="-3"/>
          <w:lang w:val="es-ES_tradnl"/>
        </w:rPr>
        <w:t xml:space="preserve">                            </w:t>
      </w:r>
      <w:r>
        <w:rPr>
          <w:b/>
          <w:spacing w:val="-3"/>
          <w:lang w:val="es-ES_tradnl"/>
        </w:rPr>
        <w:t xml:space="preserve"> </w:t>
      </w:r>
    </w:p>
    <w:p w:rsidR="00704B7D" w:rsidRDefault="00A5356D">
      <w:pPr>
        <w:suppressAutoHyphens/>
        <w:spacing w:line="360" w:lineRule="auto"/>
        <w:ind w:firstLine="708"/>
        <w:jc w:val="both"/>
      </w:pPr>
      <w:r>
        <w:rPr>
          <w:b/>
          <w:bCs/>
        </w:rPr>
        <w:t>CONSIDERANDO: 1)</w:t>
      </w:r>
      <w:r>
        <w:t xml:space="preserve"> que el Artículo 33, Numeral 1), Literal C)  del T.O.C.A.F. </w:t>
      </w:r>
      <w:r w:rsidR="00D15AF0">
        <w:t>prevé un régimen de excepción a las</w:t>
      </w:r>
      <w:r>
        <w:t xml:space="preserve"> reglas generales de la contratación administrativa, cuando la misma se realice, como en el caso, entre Organismos o dependencias del Estado;</w:t>
      </w:r>
    </w:p>
    <w:p w:rsidR="00704B7D" w:rsidRDefault="00A5356D" w:rsidP="00D15AF0">
      <w:pPr>
        <w:pStyle w:val="Textoindependiente"/>
        <w:ind w:firstLine="2977"/>
      </w:pPr>
      <w:r>
        <w:rPr>
          <w:b/>
          <w:bCs/>
        </w:rPr>
        <w:t>2)</w:t>
      </w:r>
      <w:r>
        <w:t xml:space="preserve"> que no obstante, el convenio comenzó a ejecutarse (Resultandos 3) y 5)) antes de la remisión de  las actuaciones al control previo de legalidad del gasto que compete a este Tribunal de conformidad con lo dispuesto por el Art</w:t>
      </w:r>
      <w:r w:rsidR="00D15AF0">
        <w:t xml:space="preserve">ículo </w:t>
      </w:r>
      <w:r>
        <w:t xml:space="preserve"> 211, Literal B) de la Constitución de la República;                           </w:t>
      </w:r>
    </w:p>
    <w:p w:rsidR="00704B7D" w:rsidRDefault="00A5356D" w:rsidP="00D15AF0">
      <w:pPr>
        <w:pStyle w:val="Textoindependiente"/>
        <w:tabs>
          <w:tab w:val="left" w:pos="-648"/>
          <w:tab w:val="left" w:pos="0"/>
        </w:tabs>
        <w:ind w:firstLine="2977"/>
      </w:pPr>
      <w:r>
        <w:rPr>
          <w:b/>
        </w:rPr>
        <w:t>3)</w:t>
      </w:r>
      <w:r>
        <w:t xml:space="preserve"> que </w:t>
      </w:r>
      <w:r>
        <w:rPr>
          <w:spacing w:val="-3"/>
          <w:lang w:val="es-ES_tradnl"/>
        </w:rPr>
        <w:t>no consta la imputación del gasto correspondiente a la Intendencia, con cargo a rubro presupuestal con disponibilidad suficiente;</w:t>
      </w:r>
    </w:p>
    <w:p w:rsidR="00704B7D" w:rsidRDefault="00A5356D">
      <w:pPr>
        <w:pStyle w:val="Textoindependiente"/>
        <w:tabs>
          <w:tab w:val="left" w:pos="-648"/>
          <w:tab w:val="left" w:pos="0"/>
        </w:tabs>
      </w:pPr>
      <w:r>
        <w:rPr>
          <w:b/>
          <w:bCs/>
        </w:rPr>
        <w:tab/>
        <w:t xml:space="preserve">ATENTO: </w:t>
      </w:r>
      <w:r>
        <w:t>a lo precedentemente expuesto:</w:t>
      </w:r>
    </w:p>
    <w:p w:rsidR="00704B7D" w:rsidRDefault="00A5356D">
      <w:pPr>
        <w:pStyle w:val="Textoindependiente"/>
        <w:tabs>
          <w:tab w:val="left" w:pos="-648"/>
          <w:tab w:val="left" w:pos="0"/>
        </w:tabs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704B7D" w:rsidRDefault="00D15AF0" w:rsidP="00D15AF0">
      <w:pPr>
        <w:tabs>
          <w:tab w:val="left" w:pos="-648"/>
          <w:tab w:val="left" w:pos="0"/>
        </w:tabs>
        <w:spacing w:line="360" w:lineRule="auto"/>
        <w:jc w:val="both"/>
        <w:rPr>
          <w:rFonts w:cs="Times New Roman"/>
        </w:rPr>
      </w:pPr>
      <w:r w:rsidRPr="00D15AF0">
        <w:rPr>
          <w:rFonts w:cs="Times New Roman"/>
          <w:b/>
          <w:spacing w:val="-6"/>
        </w:rPr>
        <w:t>1)</w:t>
      </w:r>
      <w:r w:rsidRPr="00D15AF0">
        <w:rPr>
          <w:rFonts w:cs="Times New Roman"/>
          <w:spacing w:val="-6"/>
        </w:rPr>
        <w:t xml:space="preserve"> </w:t>
      </w:r>
      <w:r w:rsidR="00A5356D" w:rsidRPr="00D15AF0">
        <w:rPr>
          <w:rFonts w:cs="Times New Roman"/>
          <w:spacing w:val="-6"/>
        </w:rPr>
        <w:t xml:space="preserve">Observar el gasto en virtud de lo expresado en el </w:t>
      </w:r>
      <w:r w:rsidRPr="00D15AF0">
        <w:rPr>
          <w:rFonts w:cs="Times New Roman"/>
          <w:spacing w:val="-6"/>
        </w:rPr>
        <w:t>precedente C</w:t>
      </w:r>
      <w:r w:rsidR="00A5356D" w:rsidRPr="00D15AF0">
        <w:rPr>
          <w:rFonts w:cs="Times New Roman"/>
          <w:spacing w:val="-6"/>
        </w:rPr>
        <w:t>onsiderando</w:t>
      </w:r>
      <w:r w:rsidR="00A5356D">
        <w:rPr>
          <w:rFonts w:cs="Times New Roman"/>
        </w:rPr>
        <w:t xml:space="preserve"> 2)</w:t>
      </w:r>
      <w:r>
        <w:rPr>
          <w:rFonts w:cs="Times New Roman"/>
        </w:rPr>
        <w:t>;</w:t>
      </w:r>
      <w:r w:rsidR="00A5356D">
        <w:rPr>
          <w:rFonts w:cs="Times New Roman"/>
        </w:rPr>
        <w:t xml:space="preserve"> </w:t>
      </w:r>
    </w:p>
    <w:p w:rsidR="00704B7D" w:rsidRDefault="00D15AF0" w:rsidP="00D15AF0">
      <w:pPr>
        <w:tabs>
          <w:tab w:val="left" w:pos="-648"/>
          <w:tab w:val="left" w:pos="284"/>
        </w:tabs>
        <w:spacing w:line="360" w:lineRule="auto"/>
        <w:ind w:left="284" w:hanging="284"/>
        <w:jc w:val="both"/>
        <w:rPr>
          <w:rFonts w:cs="Times New Roman"/>
        </w:rPr>
      </w:pPr>
      <w:r w:rsidRPr="00D15AF0">
        <w:rPr>
          <w:rFonts w:cs="Times New Roman"/>
          <w:b/>
        </w:rPr>
        <w:t>2)</w:t>
      </w:r>
      <w:r>
        <w:rPr>
          <w:rFonts w:cs="Times New Roman"/>
        </w:rPr>
        <w:t xml:space="preserve"> </w:t>
      </w:r>
      <w:r w:rsidR="00A5356D">
        <w:rPr>
          <w:rFonts w:cs="Times New Roman"/>
        </w:rPr>
        <w:t xml:space="preserve">Señalar a la Administración actuante, que todas las contrataciones en que se comprometan gastos, en el marco del referido convenio, deberán  ser remitidas al Contador Delegado o a este Tribunal, según corresponda, a los efectos </w:t>
      </w:r>
      <w:r w:rsidR="00B05220">
        <w:rPr>
          <w:rFonts w:cs="Times New Roman"/>
        </w:rPr>
        <w:t>del control previo de legalidad;</w:t>
      </w:r>
    </w:p>
    <w:p w:rsidR="00704B7D" w:rsidRDefault="00D15AF0" w:rsidP="00D15AF0">
      <w:pPr>
        <w:tabs>
          <w:tab w:val="left" w:pos="-648"/>
          <w:tab w:val="left" w:pos="284"/>
        </w:tabs>
        <w:spacing w:line="360" w:lineRule="auto"/>
        <w:ind w:left="284" w:hanging="284"/>
        <w:jc w:val="both"/>
        <w:rPr>
          <w:rFonts w:cs="Times New Roman"/>
        </w:rPr>
      </w:pPr>
      <w:r w:rsidRPr="00D15AF0">
        <w:rPr>
          <w:rFonts w:cs="Times New Roman"/>
          <w:b/>
        </w:rPr>
        <w:t>3)</w:t>
      </w:r>
      <w:r>
        <w:rPr>
          <w:rFonts w:cs="Times New Roman"/>
        </w:rPr>
        <w:t xml:space="preserve"> </w:t>
      </w:r>
      <w:r w:rsidR="00A5356D">
        <w:rPr>
          <w:rFonts w:cs="Times New Roman"/>
        </w:rPr>
        <w:t>Cometer a</w:t>
      </w:r>
      <w:r w:rsidR="00B05220">
        <w:rPr>
          <w:rFonts w:cs="Times New Roman"/>
        </w:rPr>
        <w:t xml:space="preserve"> </w:t>
      </w:r>
      <w:r w:rsidR="00A5356D">
        <w:rPr>
          <w:rFonts w:cs="Times New Roman"/>
        </w:rPr>
        <w:t>l</w:t>
      </w:r>
      <w:r w:rsidR="00B05220">
        <w:rPr>
          <w:rFonts w:cs="Times New Roman"/>
        </w:rPr>
        <w:t>a</w:t>
      </w:r>
      <w:r w:rsidR="00A5356D">
        <w:rPr>
          <w:rFonts w:cs="Times New Roman"/>
        </w:rPr>
        <w:t xml:space="preserve"> Contador</w:t>
      </w:r>
      <w:r w:rsidR="00B05220">
        <w:rPr>
          <w:rFonts w:cs="Times New Roman"/>
        </w:rPr>
        <w:t>a</w:t>
      </w:r>
      <w:r w:rsidR="00A5356D">
        <w:rPr>
          <w:rFonts w:cs="Times New Roman"/>
        </w:rPr>
        <w:t xml:space="preserve"> Auditor</w:t>
      </w:r>
      <w:r w:rsidR="00B05220">
        <w:rPr>
          <w:rFonts w:cs="Times New Roman"/>
        </w:rPr>
        <w:t>a</w:t>
      </w:r>
      <w:r w:rsidR="00A5356D">
        <w:rPr>
          <w:rFonts w:cs="Times New Roman"/>
        </w:rPr>
        <w:t xml:space="preserve"> </w:t>
      </w:r>
      <w:r w:rsidR="00B05220">
        <w:rPr>
          <w:rFonts w:cs="Times New Roman"/>
        </w:rPr>
        <w:t>ante</w:t>
      </w:r>
      <w:r w:rsidR="00A5356D">
        <w:rPr>
          <w:spacing w:val="-3"/>
          <w:lang w:val="es-ES_tradnl"/>
        </w:rPr>
        <w:t xml:space="preserve"> la </w:t>
      </w:r>
      <w:r w:rsidR="00821767">
        <w:rPr>
          <w:spacing w:val="-3"/>
          <w:lang w:val="es-ES_tradnl"/>
        </w:rPr>
        <w:t>Presidencia de la República</w:t>
      </w:r>
      <w:r w:rsidR="00A5356D">
        <w:rPr>
          <w:spacing w:val="-3"/>
          <w:lang w:val="es-ES_tradnl"/>
        </w:rPr>
        <w:t xml:space="preserve"> </w:t>
      </w:r>
      <w:r w:rsidR="00A5356D">
        <w:rPr>
          <w:rFonts w:cs="Times New Roman"/>
        </w:rPr>
        <w:t>la intervención de las transferencias que se realicen;</w:t>
      </w:r>
    </w:p>
    <w:p w:rsidR="00704B7D" w:rsidRDefault="00D56C21" w:rsidP="00D56C21">
      <w:pPr>
        <w:tabs>
          <w:tab w:val="left" w:pos="-648"/>
          <w:tab w:val="left" w:pos="284"/>
        </w:tabs>
        <w:spacing w:line="360" w:lineRule="auto"/>
        <w:ind w:left="284" w:hanging="284"/>
        <w:jc w:val="both"/>
        <w:rPr>
          <w:rFonts w:cs="Times New Roman"/>
        </w:rPr>
      </w:pPr>
      <w:r w:rsidRPr="00D56C21">
        <w:rPr>
          <w:rFonts w:cs="Times New Roman"/>
          <w:b/>
        </w:rPr>
        <w:lastRenderedPageBreak/>
        <w:t>4)</w:t>
      </w:r>
      <w:r>
        <w:rPr>
          <w:rFonts w:cs="Times New Roman"/>
        </w:rPr>
        <w:t xml:space="preserve"> </w:t>
      </w:r>
      <w:r w:rsidR="00A5356D">
        <w:rPr>
          <w:rFonts w:cs="Times New Roman"/>
        </w:rPr>
        <w:t>Cometer a</w:t>
      </w:r>
      <w:r w:rsidR="00B05220">
        <w:rPr>
          <w:rFonts w:cs="Times New Roman"/>
        </w:rPr>
        <w:t xml:space="preserve"> </w:t>
      </w:r>
      <w:r w:rsidR="00A5356D">
        <w:rPr>
          <w:rFonts w:cs="Times New Roman"/>
        </w:rPr>
        <w:t>l</w:t>
      </w:r>
      <w:r w:rsidR="00B05220">
        <w:rPr>
          <w:rFonts w:cs="Times New Roman"/>
        </w:rPr>
        <w:t>a</w:t>
      </w:r>
      <w:r w:rsidR="00A5356D">
        <w:rPr>
          <w:rFonts w:cs="Times New Roman"/>
        </w:rPr>
        <w:t xml:space="preserve"> Contador</w:t>
      </w:r>
      <w:r w:rsidR="00B05220">
        <w:rPr>
          <w:rFonts w:cs="Times New Roman"/>
        </w:rPr>
        <w:t>a</w:t>
      </w:r>
      <w:r w:rsidR="00A5356D">
        <w:rPr>
          <w:rFonts w:cs="Times New Roman"/>
        </w:rPr>
        <w:t xml:space="preserve"> </w:t>
      </w:r>
      <w:r w:rsidR="00B05220">
        <w:rPr>
          <w:rFonts w:cs="Times New Roman"/>
        </w:rPr>
        <w:t>Auditora ante</w:t>
      </w:r>
      <w:r w:rsidR="00821767">
        <w:rPr>
          <w:rFonts w:cs="Times New Roman"/>
        </w:rPr>
        <w:t xml:space="preserve"> </w:t>
      </w:r>
      <w:bookmarkStart w:id="0" w:name="_GoBack"/>
      <w:bookmarkEnd w:id="0"/>
      <w:r w:rsidR="00B05220">
        <w:rPr>
          <w:rFonts w:cs="Times New Roman"/>
        </w:rPr>
        <w:t>la Presidencia de la Rep</w:t>
      </w:r>
      <w:r w:rsidR="00A5356D">
        <w:rPr>
          <w:rFonts w:cs="Times New Roman"/>
        </w:rPr>
        <w:t>ública, y al Contador Delegado en la Intendencia de Canelones; y</w:t>
      </w:r>
    </w:p>
    <w:p w:rsidR="00704B7D" w:rsidRDefault="00A5356D" w:rsidP="00B05220">
      <w:pPr>
        <w:tabs>
          <w:tab w:val="left" w:pos="-648"/>
          <w:tab w:val="left" w:pos="0"/>
        </w:tabs>
        <w:spacing w:line="360" w:lineRule="auto"/>
        <w:jc w:val="both"/>
        <w:rPr>
          <w:rFonts w:cs="Times New Roman"/>
        </w:rPr>
      </w:pPr>
      <w:r>
        <w:rPr>
          <w:rFonts w:cs="Times New Roman"/>
          <w:b/>
        </w:rPr>
        <w:t>5</w:t>
      </w:r>
      <w:r w:rsidR="00B05220" w:rsidRPr="00B05220">
        <w:rPr>
          <w:rFonts w:cs="Times New Roman"/>
          <w:b/>
        </w:rPr>
        <w:t>)</w:t>
      </w:r>
      <w:r w:rsidR="00B05220">
        <w:rPr>
          <w:rFonts w:cs="Times New Roman"/>
        </w:rPr>
        <w:t xml:space="preserve"> </w:t>
      </w:r>
      <w:r>
        <w:rPr>
          <w:rFonts w:cs="Times New Roman"/>
        </w:rPr>
        <w:t xml:space="preserve">Devolver las actuaciones. </w:t>
      </w:r>
    </w:p>
    <w:p w:rsidR="00B05220" w:rsidRDefault="00B05220" w:rsidP="00B05220">
      <w:pPr>
        <w:tabs>
          <w:tab w:val="left" w:pos="-648"/>
          <w:tab w:val="left" w:pos="0"/>
        </w:tabs>
        <w:spacing w:line="360" w:lineRule="auto"/>
        <w:jc w:val="both"/>
        <w:rPr>
          <w:rFonts w:cs="Times New Roman"/>
        </w:rPr>
      </w:pPr>
    </w:p>
    <w:p w:rsidR="00B05220" w:rsidRDefault="00B05220" w:rsidP="00B05220">
      <w:pPr>
        <w:tabs>
          <w:tab w:val="left" w:pos="-648"/>
          <w:tab w:val="left" w:pos="0"/>
        </w:tabs>
        <w:spacing w:line="360" w:lineRule="auto"/>
        <w:jc w:val="both"/>
        <w:rPr>
          <w:rFonts w:cs="Times New Roman"/>
        </w:rPr>
      </w:pPr>
    </w:p>
    <w:p w:rsidR="00B05220" w:rsidRDefault="00B05220" w:rsidP="00B05220">
      <w:pPr>
        <w:tabs>
          <w:tab w:val="left" w:pos="-648"/>
          <w:tab w:val="left" w:pos="0"/>
        </w:tabs>
        <w:spacing w:line="360" w:lineRule="auto"/>
        <w:jc w:val="both"/>
        <w:rPr>
          <w:rFonts w:cs="Times New Roman"/>
        </w:rPr>
      </w:pPr>
    </w:p>
    <w:p w:rsidR="00B05220" w:rsidRDefault="00B05220" w:rsidP="00B05220">
      <w:pPr>
        <w:tabs>
          <w:tab w:val="left" w:pos="-648"/>
          <w:tab w:val="left" w:pos="0"/>
        </w:tabs>
        <w:spacing w:line="360" w:lineRule="auto"/>
        <w:jc w:val="both"/>
        <w:rPr>
          <w:rFonts w:cs="Times New Roman"/>
        </w:rPr>
      </w:pPr>
    </w:p>
    <w:p w:rsidR="00B05220" w:rsidRDefault="00B05220" w:rsidP="00B05220">
      <w:pPr>
        <w:tabs>
          <w:tab w:val="left" w:pos="-648"/>
          <w:tab w:val="left" w:pos="0"/>
        </w:tabs>
        <w:spacing w:line="360" w:lineRule="auto"/>
        <w:jc w:val="both"/>
        <w:rPr>
          <w:rFonts w:cs="Times New Roman"/>
        </w:rPr>
      </w:pPr>
    </w:p>
    <w:p w:rsidR="00B05220" w:rsidRDefault="00B05220" w:rsidP="00B05220">
      <w:pPr>
        <w:tabs>
          <w:tab w:val="left" w:pos="-648"/>
          <w:tab w:val="left" w:pos="0"/>
        </w:tabs>
        <w:spacing w:line="360" w:lineRule="auto"/>
        <w:jc w:val="both"/>
        <w:rPr>
          <w:rFonts w:cs="Times New Roman"/>
        </w:rPr>
      </w:pPr>
    </w:p>
    <w:p w:rsidR="00B05220" w:rsidRDefault="00B05220" w:rsidP="00B05220">
      <w:pPr>
        <w:tabs>
          <w:tab w:val="left" w:pos="-648"/>
          <w:tab w:val="left" w:pos="0"/>
        </w:tabs>
        <w:spacing w:line="360" w:lineRule="auto"/>
        <w:jc w:val="both"/>
        <w:rPr>
          <w:rFonts w:cs="Times New Roman"/>
        </w:rPr>
      </w:pPr>
    </w:p>
    <w:p w:rsidR="00B05220" w:rsidRDefault="00B05220" w:rsidP="00B05220">
      <w:pPr>
        <w:tabs>
          <w:tab w:val="left" w:pos="-648"/>
          <w:tab w:val="left" w:pos="0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cr</w:t>
      </w:r>
    </w:p>
    <w:sectPr w:rsidR="00B05220" w:rsidSect="00C45678">
      <w:footerReference w:type="even" r:id="rId8"/>
      <w:footerReference w:type="default" r:id="rId9"/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7D" w:rsidRDefault="00A5356D">
      <w:r>
        <w:separator/>
      </w:r>
    </w:p>
  </w:endnote>
  <w:endnote w:type="continuationSeparator" w:id="0">
    <w:p w:rsidR="00704B7D" w:rsidRDefault="00A5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7D" w:rsidRDefault="00A5356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4B7D" w:rsidRDefault="00704B7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7D" w:rsidRDefault="00A5356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2176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704B7D" w:rsidRDefault="00704B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7D" w:rsidRDefault="00A5356D">
      <w:r>
        <w:separator/>
      </w:r>
    </w:p>
  </w:footnote>
  <w:footnote w:type="continuationSeparator" w:id="0">
    <w:p w:rsidR="00704B7D" w:rsidRDefault="00A53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4889"/>
    <w:multiLevelType w:val="hybridMultilevel"/>
    <w:tmpl w:val="E10AE852"/>
    <w:lvl w:ilvl="0" w:tplc="A1D018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056C6B"/>
    <w:multiLevelType w:val="hybridMultilevel"/>
    <w:tmpl w:val="259672AC"/>
    <w:lvl w:ilvl="0" w:tplc="CF9C50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5767D6"/>
    <w:multiLevelType w:val="hybridMultilevel"/>
    <w:tmpl w:val="ABA8D9A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5626B9"/>
    <w:multiLevelType w:val="hybridMultilevel"/>
    <w:tmpl w:val="1460042C"/>
    <w:lvl w:ilvl="0" w:tplc="E3C211E0">
      <w:start w:val="6"/>
      <w:numFmt w:val="decimal"/>
      <w:lvlText w:val="%1)"/>
      <w:lvlJc w:val="left"/>
      <w:pPr>
        <w:tabs>
          <w:tab w:val="num" w:pos="2580"/>
        </w:tabs>
        <w:ind w:left="25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4">
    <w:nsid w:val="30403FF1"/>
    <w:multiLevelType w:val="hybridMultilevel"/>
    <w:tmpl w:val="76A2A806"/>
    <w:lvl w:ilvl="0" w:tplc="BADCFE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A1C619B"/>
    <w:multiLevelType w:val="hybridMultilevel"/>
    <w:tmpl w:val="FBD82476"/>
    <w:lvl w:ilvl="0" w:tplc="C568A0A8">
      <w:start w:val="5"/>
      <w:numFmt w:val="decimal"/>
      <w:lvlText w:val="%1)"/>
      <w:lvlJc w:val="left"/>
      <w:pPr>
        <w:tabs>
          <w:tab w:val="num" w:pos="2745"/>
        </w:tabs>
        <w:ind w:left="2745" w:hanging="4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>
    <w:nsid w:val="5BE104CB"/>
    <w:multiLevelType w:val="hybridMultilevel"/>
    <w:tmpl w:val="172AECBE"/>
    <w:lvl w:ilvl="0" w:tplc="A1D018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C284613"/>
    <w:multiLevelType w:val="hybridMultilevel"/>
    <w:tmpl w:val="AC409F34"/>
    <w:lvl w:ilvl="0" w:tplc="148ED95E">
      <w:start w:val="5"/>
      <w:numFmt w:val="upperLetter"/>
      <w:lvlText w:val="%1)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576205E"/>
    <w:multiLevelType w:val="hybridMultilevel"/>
    <w:tmpl w:val="3DA434A4"/>
    <w:lvl w:ilvl="0" w:tplc="2B0A96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2C04AF"/>
    <w:multiLevelType w:val="hybridMultilevel"/>
    <w:tmpl w:val="C3C4C78E"/>
    <w:lvl w:ilvl="0" w:tplc="A1D018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678"/>
    <w:rsid w:val="00704B7D"/>
    <w:rsid w:val="00821767"/>
    <w:rsid w:val="00A5356D"/>
    <w:rsid w:val="00B05220"/>
    <w:rsid w:val="00C45678"/>
    <w:rsid w:val="00D15AF0"/>
    <w:rsid w:val="00D5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uppressAutoHyphens/>
      <w:jc w:val="center"/>
    </w:pPr>
    <w:rPr>
      <w:rFonts w:ascii="Bookman Old Style" w:hAnsi="Bookman Old Style" w:cs="Times New Roman"/>
      <w:b/>
      <w:spacing w:val="-3"/>
      <w:lang w:val="es-ES_tradnl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cs="Times New Roman"/>
    </w:rPr>
  </w:style>
  <w:style w:type="character" w:styleId="Hipervnculo">
    <w:name w:val="Hyperlink"/>
    <w:semiHidden/>
    <w:unhideWhenUsed/>
    <w:rPr>
      <w:color w:val="0000FF"/>
      <w:u w:val="single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CASOS  DE  EXCEPCIÓN  A  LICITACIÓN</vt:lpstr>
    </vt:vector>
  </TitlesOfParts>
  <Company>TCR</Company>
  <LinksUpToDate>false</LinksUpToDate>
  <CharactersWithSpaces>5404</CharactersWithSpaces>
  <SharedDoc>false</SharedDoc>
  <HLinks>
    <vt:vector size="6" baseType="variant">
      <vt:variant>
        <vt:i4>5636197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documentos\CONVENIOS\Canelones\2013-17-1-0007086-ICAN-OPP-CORREC.doc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CASOS  DE  EXCEPCIÓN  A  LICITACIÓN</dc:title>
  <dc:subject/>
  <dc:creator>Tribunal de Cuentas</dc:creator>
  <cp:keywords/>
  <cp:lastModifiedBy>Miriam Cristina Rivero</cp:lastModifiedBy>
  <cp:revision>2</cp:revision>
  <cp:lastPrinted>2013-11-26T13:11:00Z</cp:lastPrinted>
  <dcterms:created xsi:type="dcterms:W3CDTF">2013-11-26T13:11:00Z</dcterms:created>
  <dcterms:modified xsi:type="dcterms:W3CDTF">2013-11-26T13:11:00Z</dcterms:modified>
</cp:coreProperties>
</file>