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53" w:rsidRDefault="002A7F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A7F53" w:rsidRDefault="002A7F5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7F53" w:rsidRDefault="002A7F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A7F53" w:rsidRDefault="002A7F5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7F53" w:rsidRDefault="002A7F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20 DE NOVIEMBRE   2013</w:t>
      </w:r>
    </w:p>
    <w:p w:rsidR="002A7F53" w:rsidRDefault="002A7F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7F53" w:rsidRPr="002A7F53" w:rsidRDefault="002A7F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A7F53">
        <w:rPr>
          <w:rFonts w:ascii="Helvetica" w:hAnsi="Helvetica"/>
          <w:b/>
          <w:lang w:val="es-UY"/>
        </w:rPr>
        <w:t>(E. E. Nº 2013-17-1-0000363, Ent. N° 6239/13.)</w:t>
      </w:r>
    </w:p>
    <w:p w:rsidR="002A7F53" w:rsidRPr="002A7F53" w:rsidRDefault="002A7F53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2A7F53" w:rsidRPr="002A7F53" w:rsidRDefault="002A7F53">
      <w:pPr>
        <w:rPr>
          <w:lang w:val="es-UY"/>
        </w:rPr>
      </w:pPr>
    </w:p>
    <w:p w:rsidR="00034A5B" w:rsidRDefault="006B7F71" w:rsidP="002A7F53">
      <w:pPr>
        <w:spacing w:line="360" w:lineRule="auto"/>
        <w:ind w:firstLine="708"/>
        <w:jc w:val="both"/>
        <w:rPr>
          <w:lang w:val="es-MX"/>
        </w:rPr>
      </w:pPr>
      <w:r>
        <w:rPr>
          <w:b/>
          <w:bCs/>
          <w:lang w:val="es-MX"/>
        </w:rPr>
        <w:t>VISTO:</w:t>
      </w:r>
      <w:r>
        <w:rPr>
          <w:lang w:val="es-MX"/>
        </w:rPr>
        <w:t xml:space="preserve"> las actuaciones remitidas por la Intendencia de Maldonado relacionadas con la prórroga de la Licitación Abreviada Nº 117/11 para la instalación y explotación comercial de Escuela de Surf y Alquiler de Tablas en la zona II Posta del Cangrejo;</w:t>
      </w:r>
    </w:p>
    <w:p w:rsidR="00034A5B" w:rsidRDefault="006B7F71" w:rsidP="002A7F53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 xml:space="preserve">RESULTANDO: 1) </w:t>
      </w:r>
      <w:r>
        <w:rPr>
          <w:b/>
          <w:lang w:val="es-MX"/>
        </w:rPr>
        <w:tab/>
      </w:r>
      <w:r>
        <w:rPr>
          <w:lang w:val="es-MX"/>
        </w:rPr>
        <w:t>que por Resolución Nº 10873/2011 de fecha 28/12/11 el Director General de Hacienda, (en ejercicio de atribuciones delegadas), dispuso adjudicar  la citada licitación a Juan Pablo Fernández la zona 1 y a Marina Loreti la zona 2, por un canon de U$S 600 p</w:t>
      </w:r>
      <w:r w:rsidR="00A263E6">
        <w:rPr>
          <w:lang w:val="es-MX"/>
        </w:rPr>
        <w:t>or temporada, más</w:t>
      </w:r>
      <w:r>
        <w:rPr>
          <w:lang w:val="es-MX"/>
        </w:rPr>
        <w:t xml:space="preserve"> 50 clases gratuitas para niños de cualquier institución benéfica de Maldonado, por la temporada 2011-2012;</w:t>
      </w:r>
    </w:p>
    <w:p w:rsidR="00034A5B" w:rsidRDefault="006B7F71" w:rsidP="002A7F53">
      <w:pPr>
        <w:spacing w:line="360" w:lineRule="auto"/>
        <w:ind w:firstLine="2552"/>
        <w:jc w:val="both"/>
      </w:pPr>
      <w:r w:rsidRPr="002A7F53">
        <w:rPr>
          <w:b/>
          <w:bCs/>
          <w:lang w:val="es-MX"/>
        </w:rPr>
        <w:t>2</w:t>
      </w:r>
      <w:r w:rsidRPr="002A7F53">
        <w:rPr>
          <w:b/>
          <w:lang w:val="es-MX"/>
        </w:rPr>
        <w:t>)</w:t>
      </w:r>
      <w:r>
        <w:rPr>
          <w:b/>
          <w:bCs/>
        </w:rPr>
        <w:t xml:space="preserve"> </w:t>
      </w:r>
      <w:r>
        <w:t xml:space="preserve">que este </w:t>
      </w:r>
      <w:r w:rsidR="002A7F53">
        <w:t>Tribunal</w:t>
      </w:r>
      <w:r>
        <w:t xml:space="preserve">, en Sesión de fecha 11/04/12 observó el procedimiento, en virtud de considerar que se había contravenido lo dispuesto en la Resolución de </w:t>
      </w:r>
      <w:r w:rsidR="002A7F53">
        <w:t>e</w:t>
      </w:r>
      <w:r>
        <w:t>ste Tribunal de fecha 28/03/2007 y que no se cumplió con lo establecido por el artículo 17 del Pliego de Condiciones  Particular</w:t>
      </w:r>
      <w:r w:rsidR="00A263E6">
        <w:t>es</w:t>
      </w:r>
      <w:r>
        <w:t xml:space="preserve">, ya que </w:t>
      </w:r>
      <w:r>
        <w:rPr>
          <w:lang w:val="es-MX"/>
        </w:rPr>
        <w:t>no se expresaron los fundamentos de la Comisión Asesora de Adjudicaciones a efectos de determinar la oferta más conveniente, posteriormente se</w:t>
      </w:r>
      <w:r>
        <w:t xml:space="preserve"> reiteró el procedimiento,  manteniéndose la observación en Sesión de fecha 06</w:t>
      </w:r>
      <w:r w:rsidR="00A263E6">
        <w:t>/</w:t>
      </w:r>
      <w:r>
        <w:t>02/2013;</w:t>
      </w:r>
    </w:p>
    <w:p w:rsidR="00034A5B" w:rsidRDefault="006B7F71" w:rsidP="002A7F53">
      <w:pPr>
        <w:spacing w:line="360" w:lineRule="auto"/>
        <w:ind w:firstLine="2552"/>
        <w:jc w:val="both"/>
      </w:pPr>
      <w:r>
        <w:rPr>
          <w:b/>
          <w:bCs/>
        </w:rPr>
        <w:t>3)</w:t>
      </w:r>
      <w:r>
        <w:t xml:space="preserve"> que en esta oportunidad, ante solicitud de la </w:t>
      </w:r>
      <w:r w:rsidRPr="002A7F53">
        <w:rPr>
          <w:spacing w:val="-8"/>
        </w:rPr>
        <w:t>concesionaria, el Director General de Hacienda, mediante Resolución Nº</w:t>
      </w:r>
      <w:r>
        <w:t xml:space="preserve"> 08385/13 dispuso prorrogar ad referéndum del pronunciamiento de </w:t>
      </w:r>
      <w:r w:rsidR="002A7F53">
        <w:t>e</w:t>
      </w:r>
      <w:r>
        <w:t>ste Tribunal la referida concesión, por la temporada 2013-2014;</w:t>
      </w:r>
    </w:p>
    <w:p w:rsidR="00034A5B" w:rsidRDefault="006B7F71" w:rsidP="002A7F53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b/>
          <w:bCs/>
        </w:rPr>
        <w:lastRenderedPageBreak/>
        <w:t xml:space="preserve">CONSIDERANDO: </w:t>
      </w:r>
      <w:r>
        <w:rPr>
          <w:rFonts w:cs="Arial"/>
          <w:lang w:val="es-MX"/>
        </w:rPr>
        <w:t xml:space="preserve">que  la presente prórroga </w:t>
      </w:r>
      <w:r>
        <w:rPr>
          <w:rFonts w:cs="Arial"/>
          <w:spacing w:val="-3"/>
          <w:lang w:val="es-ES_tradnl"/>
        </w:rPr>
        <w:t>se encuentra afectada al derivar de un procedimiento  que fue previamente observado por el Tribunal,  por razones  que resultan insubsanables;</w:t>
      </w:r>
    </w:p>
    <w:p w:rsidR="00034A5B" w:rsidRPr="002A7F53" w:rsidRDefault="006B7F71" w:rsidP="002A7F53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b/>
          <w:bCs/>
        </w:rPr>
        <w:t xml:space="preserve">ATENTO: </w:t>
      </w:r>
      <w:r>
        <w:t xml:space="preserve">a lo dispuesto por el </w:t>
      </w:r>
      <w:r w:rsidR="002A7F53">
        <w:t>A</w:t>
      </w:r>
      <w:r>
        <w:t xml:space="preserve">rtículo 211 </w:t>
      </w:r>
      <w:r w:rsidR="002A7F53">
        <w:t>L</w:t>
      </w:r>
      <w:r>
        <w:t>iteral E) de la Constitución de la República;</w:t>
      </w:r>
    </w:p>
    <w:p w:rsidR="00034A5B" w:rsidRDefault="006B7F71">
      <w:pPr>
        <w:suppressAutoHyphens/>
        <w:spacing w:line="360" w:lineRule="auto"/>
        <w:ind w:right="284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EL TRIBUNAL ACUERDA</w:t>
      </w:r>
    </w:p>
    <w:p w:rsidR="00034A5B" w:rsidRDefault="006B7F71" w:rsidP="002A7F53">
      <w:pPr>
        <w:spacing w:line="360" w:lineRule="auto"/>
        <w:ind w:left="284" w:hanging="28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1)</w:t>
      </w:r>
      <w:r>
        <w:rPr>
          <w:rFonts w:cs="Arial"/>
        </w:rPr>
        <w:t xml:space="preserve"> Observar el procedimiento, seguido para la  prórroga  de la concesión para</w:t>
      </w:r>
      <w:r>
        <w:t xml:space="preserve"> la “Explotación comercial de la Escuela de Surf en Posta del Cangrejo (Zona 2”</w:t>
      </w:r>
      <w:r w:rsidR="00A263E6">
        <w:t xml:space="preserve">) </w:t>
      </w:r>
      <w:bookmarkStart w:id="0" w:name="_GoBack"/>
      <w:bookmarkEnd w:id="0"/>
      <w:r>
        <w:t xml:space="preserve"> por la temporada 2013-2014;</w:t>
      </w:r>
      <w:r>
        <w:rPr>
          <w:b/>
          <w:bCs/>
        </w:rPr>
        <w:t xml:space="preserve"> </w:t>
      </w:r>
    </w:p>
    <w:p w:rsidR="00034A5B" w:rsidRDefault="006B7F71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2)</w:t>
      </w:r>
      <w:r>
        <w:rPr>
          <w:lang w:val="es-ES_tradnl"/>
        </w:rPr>
        <w:t xml:space="preserve"> Dar cuenta a la Junta Departamental; y</w:t>
      </w:r>
    </w:p>
    <w:p w:rsidR="00034A5B" w:rsidRDefault="006B7F71">
      <w:pPr>
        <w:pStyle w:val="Ttulo7"/>
        <w:rPr>
          <w:rFonts w:cs="Arial"/>
        </w:rPr>
      </w:pPr>
      <w:r>
        <w:rPr>
          <w:rFonts w:cs="Arial"/>
          <w:b/>
          <w:bCs/>
        </w:rPr>
        <w:t xml:space="preserve">3) </w:t>
      </w:r>
      <w:r>
        <w:rPr>
          <w:rFonts w:cs="Arial"/>
        </w:rPr>
        <w:t>Devolver las actuaciones.</w:t>
      </w:r>
    </w:p>
    <w:p w:rsidR="006B7F71" w:rsidRDefault="006B7F71" w:rsidP="006B7F71">
      <w:pPr>
        <w:rPr>
          <w:lang w:val="es-ES_tradnl"/>
        </w:rPr>
      </w:pPr>
    </w:p>
    <w:p w:rsidR="006B7F71" w:rsidRDefault="006B7F71" w:rsidP="006B7F71">
      <w:pPr>
        <w:rPr>
          <w:lang w:val="es-ES_tradnl"/>
        </w:rPr>
      </w:pPr>
    </w:p>
    <w:p w:rsidR="006B7F71" w:rsidRDefault="006B7F71" w:rsidP="006B7F71">
      <w:pPr>
        <w:rPr>
          <w:lang w:val="es-ES_tradnl"/>
        </w:rPr>
      </w:pPr>
    </w:p>
    <w:p w:rsidR="006B7F71" w:rsidRDefault="006B7F71" w:rsidP="006B7F71">
      <w:pPr>
        <w:rPr>
          <w:lang w:val="es-ES_tradnl"/>
        </w:rPr>
      </w:pPr>
    </w:p>
    <w:p w:rsidR="006B7F71" w:rsidRDefault="006B7F71" w:rsidP="006B7F71">
      <w:pPr>
        <w:rPr>
          <w:lang w:val="es-ES_tradnl"/>
        </w:rPr>
      </w:pPr>
    </w:p>
    <w:p w:rsidR="006B7F71" w:rsidRPr="006B7F71" w:rsidRDefault="006B7F71" w:rsidP="006B7F71">
      <w:pPr>
        <w:rPr>
          <w:lang w:val="es-ES_tradnl"/>
        </w:rPr>
      </w:pPr>
      <w:r>
        <w:rPr>
          <w:lang w:val="es-ES_tradnl"/>
        </w:rPr>
        <w:t>cr</w:t>
      </w:r>
    </w:p>
    <w:sectPr w:rsidR="006B7F71" w:rsidRPr="006B7F71" w:rsidSect="002A7F53">
      <w:foot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5B" w:rsidRDefault="006B7F71">
      <w:r>
        <w:separator/>
      </w:r>
    </w:p>
  </w:endnote>
  <w:endnote w:type="continuationSeparator" w:id="0">
    <w:p w:rsidR="00034A5B" w:rsidRDefault="006B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5B" w:rsidRDefault="006B7F7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4A5B" w:rsidRDefault="00034A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5B" w:rsidRDefault="006B7F7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63E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34A5B" w:rsidRDefault="00034A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5B" w:rsidRDefault="006B7F71">
      <w:r>
        <w:separator/>
      </w:r>
    </w:p>
  </w:footnote>
  <w:footnote w:type="continuationSeparator" w:id="0">
    <w:p w:rsidR="00034A5B" w:rsidRDefault="006B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02B6"/>
    <w:multiLevelType w:val="hybridMultilevel"/>
    <w:tmpl w:val="19926A18"/>
    <w:lvl w:ilvl="0" w:tplc="4216C5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5F1681E"/>
    <w:multiLevelType w:val="hybridMultilevel"/>
    <w:tmpl w:val="6FA6A9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14DBF"/>
    <w:multiLevelType w:val="hybridMultilevel"/>
    <w:tmpl w:val="07242B5C"/>
    <w:lvl w:ilvl="0" w:tplc="5BC2B960">
      <w:start w:val="4"/>
      <w:numFmt w:val="decimal"/>
      <w:lvlText w:val="%1)"/>
      <w:lvlJc w:val="left"/>
      <w:pPr>
        <w:tabs>
          <w:tab w:val="num" w:pos="3225"/>
        </w:tabs>
        <w:ind w:left="3225" w:hanging="4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3">
    <w:nsid w:val="2EAE04FF"/>
    <w:multiLevelType w:val="hybridMultilevel"/>
    <w:tmpl w:val="1E143894"/>
    <w:lvl w:ilvl="0" w:tplc="E334D3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F735C9"/>
    <w:multiLevelType w:val="hybridMultilevel"/>
    <w:tmpl w:val="E3E68A08"/>
    <w:lvl w:ilvl="0" w:tplc="023AE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953F06"/>
    <w:multiLevelType w:val="hybridMultilevel"/>
    <w:tmpl w:val="1E90E134"/>
    <w:lvl w:ilvl="0" w:tplc="C414EDCA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D076610"/>
    <w:multiLevelType w:val="hybridMultilevel"/>
    <w:tmpl w:val="0B1ED61A"/>
    <w:lvl w:ilvl="0" w:tplc="D84A402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D60656A"/>
    <w:multiLevelType w:val="hybridMultilevel"/>
    <w:tmpl w:val="D0FC10C6"/>
    <w:lvl w:ilvl="0" w:tplc="6922A2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1A63A3"/>
    <w:multiLevelType w:val="hybridMultilevel"/>
    <w:tmpl w:val="75EC79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E69582C"/>
    <w:multiLevelType w:val="hybridMultilevel"/>
    <w:tmpl w:val="5E52E4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F53"/>
    <w:rsid w:val="00034A5B"/>
    <w:rsid w:val="002A7F53"/>
    <w:rsid w:val="006B7F71"/>
    <w:rsid w:val="00A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szCs w:val="20"/>
      <w:lang w:val="es-MX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cs="Arial"/>
      <w:b/>
      <w:bCs/>
      <w:i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widowControl w:val="0"/>
      <w:suppressAutoHyphens/>
      <w:spacing w:line="360" w:lineRule="auto"/>
      <w:ind w:right="284"/>
      <w:jc w:val="both"/>
      <w:outlineLvl w:val="6"/>
    </w:pPr>
    <w:rPr>
      <w:snapToGrid w:val="0"/>
      <w:spacing w:val="-3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widowControl w:val="0"/>
      <w:suppressAutoHyphens/>
      <w:spacing w:line="360" w:lineRule="auto"/>
      <w:ind w:left="1440" w:right="284" w:firstLine="720"/>
      <w:jc w:val="both"/>
      <w:outlineLvl w:val="8"/>
    </w:pPr>
    <w:rPr>
      <w:b/>
      <w:bCs/>
      <w:snapToGrid w:val="0"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spacing w:line="360" w:lineRule="auto"/>
      <w:jc w:val="center"/>
    </w:pPr>
    <w:rPr>
      <w:rFonts w:cs="Arial"/>
      <w:iCs/>
      <w:sz w:val="20"/>
      <w:szCs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Cs/>
      <w:sz w:val="20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  <w:rPr>
      <w:rFonts w:cs="Arial"/>
      <w:bCs/>
      <w:lang w:val="es-MX"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rFonts w:cs="Arial"/>
      <w:color w:val="0000FF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ABREVIADA</vt:lpstr>
    </vt:vector>
  </TitlesOfParts>
  <Company>Tribunal de Cuentas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ABREVIADA</dc:title>
  <dc:subject/>
  <dc:creator>TCR</dc:creator>
  <cp:keywords/>
  <cp:lastModifiedBy>Miriam Cristina Rivero</cp:lastModifiedBy>
  <cp:revision>2</cp:revision>
  <cp:lastPrinted>2013-11-27T15:36:00Z</cp:lastPrinted>
  <dcterms:created xsi:type="dcterms:W3CDTF">2013-11-27T15:36:00Z</dcterms:created>
  <dcterms:modified xsi:type="dcterms:W3CDTF">2013-11-27T15:36:00Z</dcterms:modified>
</cp:coreProperties>
</file>