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7FC" w:rsidRDefault="00C927FC" w:rsidP="00C927FC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RESOLUCION ADOPTADA POR EL</w:t>
      </w:r>
    </w:p>
    <w:p w:rsidR="00C927FC" w:rsidRDefault="00C927FC" w:rsidP="00C927FC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TRIBUNAL DE CUENTAS</w:t>
      </w:r>
    </w:p>
    <w:p w:rsidR="00C927FC" w:rsidRDefault="00C927FC" w:rsidP="00C927FC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EN SESION DE FECHA  20 DE NOVIEMBRE   2013</w:t>
      </w:r>
    </w:p>
    <w:p w:rsidR="00317701" w:rsidRPr="00C927FC" w:rsidRDefault="00C927FC" w:rsidP="00C927FC">
      <w:pPr>
        <w:tabs>
          <w:tab w:val="center" w:pos="4253"/>
        </w:tabs>
        <w:suppressAutoHyphens/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C927FC">
        <w:rPr>
          <w:rFonts w:ascii="Helvetica" w:hAnsi="Helvetica"/>
          <w:b/>
          <w:sz w:val="24"/>
          <w:szCs w:val="24"/>
          <w:lang w:val="es-ES"/>
        </w:rPr>
        <w:t xml:space="preserve">(E. E. Nº </w:t>
      </w:r>
      <w:r w:rsidR="00E131A0" w:rsidRPr="00C927FC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2013-17-1-0007299</w:t>
      </w:r>
      <w:r w:rsidRPr="00C927FC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="00E131A0" w:rsidRPr="00C927FC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E. Nº: 6310/13</w:t>
      </w:r>
      <w:r w:rsidRPr="00C927FC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)</w:t>
      </w:r>
    </w:p>
    <w:p w:rsidR="00E131A0" w:rsidRPr="00E131A0" w:rsidRDefault="00C927FC" w:rsidP="00E131A0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sz w:val="24"/>
          <w:szCs w:val="24"/>
          <w:lang w:val="es-UY" w:eastAsia="es-ES"/>
        </w:rPr>
      </w:pPr>
      <w:r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 xml:space="preserve"> </w:t>
      </w:r>
      <w:r w:rsidR="00E131A0" w:rsidRPr="00E131A0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 xml:space="preserve">VISTO: </w:t>
      </w:r>
      <w:r w:rsidR="00E131A0" w:rsidRPr="00E131A0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las actuaciones remitidas por la Unidad Centralizada de Adquisiciones relativas al Llamado Nº  26/2013</w:t>
      </w:r>
      <w:r w:rsidR="00E131A0" w:rsidRPr="00E131A0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cuyo objeto es la adquisición de hasta 274.423 </w:t>
      </w:r>
      <w:proofErr w:type="spellStart"/>
      <w:r w:rsidR="00E131A0" w:rsidRPr="00E131A0">
        <w:rPr>
          <w:rFonts w:ascii="Arial" w:eastAsia="Times New Roman" w:hAnsi="Arial" w:cs="Times New Roman"/>
          <w:bCs/>
          <w:sz w:val="24"/>
          <w:szCs w:val="24"/>
          <w:lang w:eastAsia="es-ES"/>
        </w:rPr>
        <w:t>kgs</w:t>
      </w:r>
      <w:proofErr w:type="spellEnd"/>
      <w:r w:rsidR="00E131A0" w:rsidRPr="00E131A0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. </w:t>
      </w:r>
      <w:proofErr w:type="gramStart"/>
      <w:r w:rsidR="00E131A0" w:rsidRPr="00E131A0">
        <w:rPr>
          <w:rFonts w:ascii="Arial" w:eastAsia="Times New Roman" w:hAnsi="Arial" w:cs="Times New Roman"/>
          <w:bCs/>
          <w:sz w:val="24"/>
          <w:szCs w:val="24"/>
          <w:lang w:eastAsia="es-ES"/>
        </w:rPr>
        <w:t>de</w:t>
      </w:r>
      <w:proofErr w:type="gramEnd"/>
      <w:r w:rsidR="00E131A0" w:rsidRPr="00E131A0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Pulpa de Tomate, por el período estimado de un semestre;</w:t>
      </w:r>
    </w:p>
    <w:p w:rsidR="00E131A0" w:rsidRPr="00E131A0" w:rsidRDefault="00E131A0" w:rsidP="00E131A0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</w:pPr>
      <w:r>
        <w:rPr>
          <w:rFonts w:ascii="Arial" w:eastAsia="Times New Roman" w:hAnsi="Arial" w:cs="Times New Roman"/>
          <w:b/>
          <w:color w:val="000000"/>
          <w:sz w:val="24"/>
          <w:szCs w:val="20"/>
          <w:lang w:eastAsia="es-ES"/>
        </w:rPr>
        <w:t>RE</w:t>
      </w:r>
      <w:r w:rsidRPr="00E131A0">
        <w:rPr>
          <w:rFonts w:ascii="Arial" w:eastAsia="Times New Roman" w:hAnsi="Arial" w:cs="Times New Roman"/>
          <w:b/>
          <w:color w:val="000000"/>
          <w:sz w:val="24"/>
          <w:szCs w:val="20"/>
          <w:lang w:eastAsia="es-ES"/>
        </w:rPr>
        <w:t>SULTANDO: 1)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 xml:space="preserve"> que cumplidos los trámites de estilo (publicaciones e invitaciones), al Acto de Apertura realizado con fecha 14</w:t>
      </w:r>
      <w:r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 xml:space="preserve"> de agosto de 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>2013 se presentaron las firmas BARRACA DEAMBROSI S.A., GIBUR S.A. y VIDALER S.A.;</w:t>
      </w:r>
    </w:p>
    <w:p w:rsidR="00E131A0" w:rsidRPr="00E131A0" w:rsidRDefault="00E131A0" w:rsidP="00E131A0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</w:pP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 xml:space="preserve"> 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ab/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ab/>
      </w:r>
      <w:r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 xml:space="preserve">          </w:t>
      </w:r>
      <w:r w:rsidRPr="00E131A0">
        <w:rPr>
          <w:rFonts w:ascii="Arial" w:eastAsia="Times New Roman" w:hAnsi="Arial" w:cs="Times New Roman"/>
          <w:b/>
          <w:color w:val="000000"/>
          <w:sz w:val="24"/>
          <w:szCs w:val="20"/>
          <w:lang w:eastAsia="es-ES"/>
        </w:rPr>
        <w:t>2)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 xml:space="preserve"> que se convocó a presentar ofertas y a mejorar las existentes, en virtud de lo dispuesto por el </w:t>
      </w:r>
      <w:r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>N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>umeral 5</w:t>
      </w:r>
      <w:r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>)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 xml:space="preserve"> </w:t>
      </w:r>
      <w:r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>A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>rtículo 2</w:t>
      </w:r>
      <w:r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 xml:space="preserve">) 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 xml:space="preserve">del Decreto 129/2003, según </w:t>
      </w:r>
      <w:r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>A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>ctas de fecha 30 de agosto y 25 de setiembre de 2013, habiéndose presentado las firmas BARRACA DEAMBROSI S.A., GIBUR S.A. y VIDALER S.A.;</w:t>
      </w:r>
    </w:p>
    <w:p w:rsidR="00E131A0" w:rsidRPr="00E131A0" w:rsidRDefault="00E131A0" w:rsidP="00E131A0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</w:pPr>
      <w:r w:rsidRPr="00E131A0">
        <w:rPr>
          <w:rFonts w:ascii="Arial" w:eastAsia="Times New Roman" w:hAnsi="Arial" w:cs="Times New Roman"/>
          <w:b/>
          <w:bCs/>
          <w:color w:val="000000"/>
          <w:sz w:val="24"/>
          <w:szCs w:val="20"/>
          <w:lang w:eastAsia="es-ES"/>
        </w:rPr>
        <w:t xml:space="preserve"> </w:t>
      </w:r>
      <w:r w:rsidRPr="00E131A0">
        <w:rPr>
          <w:rFonts w:ascii="Arial" w:eastAsia="Times New Roman" w:hAnsi="Arial" w:cs="Times New Roman"/>
          <w:b/>
          <w:bCs/>
          <w:color w:val="000000"/>
          <w:sz w:val="24"/>
          <w:szCs w:val="20"/>
          <w:lang w:eastAsia="es-ES"/>
        </w:rPr>
        <w:tab/>
        <w:t xml:space="preserve">       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0"/>
          <w:lang w:eastAsia="es-ES"/>
        </w:rPr>
        <w:t xml:space="preserve">               </w:t>
      </w:r>
      <w:r w:rsidRPr="00E131A0">
        <w:rPr>
          <w:rFonts w:ascii="Arial" w:eastAsia="Times New Roman" w:hAnsi="Arial" w:cs="Times New Roman"/>
          <w:b/>
          <w:bCs/>
          <w:color w:val="000000"/>
          <w:sz w:val="24"/>
          <w:szCs w:val="20"/>
          <w:lang w:eastAsia="es-ES"/>
        </w:rPr>
        <w:t>3)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 xml:space="preserve"> que se realizó una nueva convocatoria a presentar ofertas y a mejorar las existentes, en virtud de lo dispuesto por el </w:t>
      </w:r>
      <w:r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>N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>umeral 7</w:t>
      </w:r>
      <w:r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>)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 xml:space="preserve"> </w:t>
      </w:r>
      <w:r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>A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>rticulo 2 del Decreto 129/2003, presentando mejoras de ofertas las firmas pr</w:t>
      </w:r>
      <w:r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>opuestas en la apertura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>, según acta de fecha 14</w:t>
      </w:r>
      <w:r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 xml:space="preserve"> de octubre de 20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>13;</w:t>
      </w:r>
    </w:p>
    <w:p w:rsidR="00E131A0" w:rsidRPr="00E131A0" w:rsidRDefault="00E131A0" w:rsidP="00E131A0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sz w:val="24"/>
          <w:szCs w:val="24"/>
          <w:lang w:val="es-UY" w:eastAsia="es-ES"/>
        </w:rPr>
      </w:pPr>
      <w:r w:rsidRPr="00E131A0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ab/>
      </w:r>
      <w:r w:rsidRPr="00E131A0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ab/>
      </w:r>
      <w:r w:rsidRPr="00E131A0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 xml:space="preserve">       </w:t>
      </w:r>
      <w:r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 xml:space="preserve">   </w:t>
      </w:r>
      <w:r w:rsidRPr="00E131A0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>4</w:t>
      </w:r>
      <w:r w:rsidRPr="00E131A0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>)</w:t>
      </w:r>
      <w:r w:rsidRPr="00E131A0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que consta Resolución Nº 108/2013 de fecha 22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de octubre de </w:t>
      </w:r>
      <w:r w:rsidRPr="00E131A0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2013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</w:t>
      </w:r>
      <w:r w:rsidRPr="00E131A0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adoptada por la Directora Ejecutiva de la U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nidad Centralizada de Adquisiciones, </w:t>
      </w:r>
      <w:r w:rsidRPr="00E131A0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adjudicando el llamado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,</w:t>
      </w:r>
      <w:r w:rsidRPr="00E131A0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 por la suma total de 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        </w:t>
      </w:r>
      <w:r w:rsidRPr="00E131A0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$ 7:642.680,55, a favor de la firma GIBUR S.A.;</w:t>
      </w:r>
    </w:p>
    <w:p w:rsidR="00E131A0" w:rsidRPr="00E131A0" w:rsidRDefault="00E131A0" w:rsidP="00E131A0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sz w:val="24"/>
          <w:szCs w:val="24"/>
          <w:lang w:val="es-ES" w:eastAsia="es-ES"/>
        </w:rPr>
      </w:pPr>
    </w:p>
    <w:p w:rsidR="00E131A0" w:rsidRPr="00E131A0" w:rsidRDefault="00E131A0" w:rsidP="00E131A0">
      <w:pPr>
        <w:spacing w:after="0" w:line="360" w:lineRule="auto"/>
        <w:ind w:firstLine="851"/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</w:pP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lastRenderedPageBreak/>
        <w:t xml:space="preserve">                            </w:t>
      </w:r>
      <w:r w:rsidRPr="00E131A0">
        <w:rPr>
          <w:rFonts w:ascii="Arial" w:eastAsia="Times New Roman" w:hAnsi="Arial" w:cs="Times New Roman"/>
          <w:b/>
          <w:bCs/>
          <w:color w:val="000000"/>
          <w:sz w:val="24"/>
          <w:szCs w:val="20"/>
          <w:lang w:eastAsia="es-ES"/>
        </w:rPr>
        <w:t>5)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 xml:space="preserve"> que consta la notificación de la Resolución a los oferentes;</w:t>
      </w:r>
    </w:p>
    <w:p w:rsidR="00E131A0" w:rsidRPr="00E131A0" w:rsidRDefault="00E131A0" w:rsidP="00E131A0">
      <w:pPr>
        <w:spacing w:after="0" w:line="360" w:lineRule="auto"/>
        <w:ind w:firstLine="851"/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</w:pP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 xml:space="preserve">                            </w:t>
      </w:r>
      <w:r w:rsidRPr="00E131A0">
        <w:rPr>
          <w:rFonts w:ascii="Arial" w:eastAsia="Times New Roman" w:hAnsi="Arial" w:cs="Times New Roman"/>
          <w:b/>
          <w:bCs/>
          <w:color w:val="000000"/>
          <w:sz w:val="24"/>
          <w:szCs w:val="20"/>
          <w:lang w:eastAsia="es-ES"/>
        </w:rPr>
        <w:t>6)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  <w:t xml:space="preserve"> que no consta  la publicación de la adjudicación en la Página Web de Compras Estatales;</w:t>
      </w:r>
    </w:p>
    <w:p w:rsidR="00E131A0" w:rsidRPr="00E131A0" w:rsidRDefault="00E131A0" w:rsidP="00E131A0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sz w:val="24"/>
          <w:szCs w:val="24"/>
          <w:lang w:val="es-UY" w:eastAsia="es-ES"/>
        </w:rPr>
      </w:pPr>
      <w:r w:rsidRPr="00E131A0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>CONSIDERANDO:</w:t>
      </w:r>
      <w:r w:rsidRPr="00E131A0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</w:t>
      </w:r>
      <w:r w:rsidRPr="00E131A0">
        <w:rPr>
          <w:rFonts w:ascii="Arial" w:eastAsia="Times New Roman" w:hAnsi="Arial" w:cs="Times New Roman"/>
          <w:b/>
          <w:sz w:val="24"/>
          <w:szCs w:val="24"/>
          <w:lang w:val="es-UY" w:eastAsia="es-ES"/>
        </w:rPr>
        <w:t>1)</w:t>
      </w:r>
      <w:r w:rsidRPr="00E131A0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que el procedimiento de adquisición se adecua a las normas vigentes aplicables (Decreto 129/2003 y sus modificativas);</w:t>
      </w:r>
    </w:p>
    <w:p w:rsidR="00E131A0" w:rsidRPr="00E131A0" w:rsidRDefault="00E131A0" w:rsidP="00E131A0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color w:val="000000"/>
          <w:sz w:val="24"/>
          <w:szCs w:val="20"/>
          <w:lang w:eastAsia="es-ES"/>
        </w:rPr>
      </w:pPr>
      <w:r w:rsidRPr="00E131A0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                                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 </w:t>
      </w:r>
      <w:r w:rsidRPr="00E131A0">
        <w:rPr>
          <w:rFonts w:ascii="Arial" w:eastAsia="Times New Roman" w:hAnsi="Arial" w:cs="Times New Roman"/>
          <w:b/>
          <w:bCs/>
          <w:sz w:val="24"/>
          <w:szCs w:val="24"/>
          <w:lang w:val="es-UY" w:eastAsia="es-ES"/>
        </w:rPr>
        <w:t>2)</w:t>
      </w:r>
      <w:r w:rsidRPr="00E131A0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que la publicidad del acto de adjudicación prevista en el 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Artículo</w:t>
      </w:r>
      <w:r w:rsidRPr="00E131A0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50 del TOCAF, en cuanto opera como notificación al adjudicatario para perfeccionar el 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C</w:t>
      </w:r>
      <w:r w:rsidRPr="00E131A0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ontrato, debe realizarse una vez culminado el proceso del gasto, esto es, con posterioridad a la intervención de este Tribunal (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Artículo</w:t>
      </w:r>
      <w:r w:rsidRPr="00E131A0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69 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del </w:t>
      </w:r>
      <w:r w:rsidRPr="00E131A0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TOCAF);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val="es-UY" w:eastAsia="es-ES"/>
        </w:rPr>
        <w:t xml:space="preserve"> 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val="es-UY" w:eastAsia="es-ES"/>
        </w:rPr>
        <w:tab/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val="es-UY" w:eastAsia="es-ES"/>
        </w:rPr>
        <w:tab/>
      </w:r>
    </w:p>
    <w:p w:rsidR="00E131A0" w:rsidRPr="00E131A0" w:rsidRDefault="00E131A0" w:rsidP="00E131A0">
      <w:pPr>
        <w:keepNext/>
        <w:spacing w:after="0" w:line="360" w:lineRule="auto"/>
        <w:ind w:firstLine="851"/>
        <w:jc w:val="both"/>
        <w:outlineLvl w:val="1"/>
        <w:rPr>
          <w:rFonts w:ascii="Arial" w:eastAsia="Times New Roman" w:hAnsi="Arial" w:cs="Times New Roman"/>
          <w:bCs/>
          <w:color w:val="000000"/>
          <w:sz w:val="24"/>
          <w:szCs w:val="20"/>
          <w:lang w:val="es-UY" w:eastAsia="es-ES"/>
        </w:rPr>
      </w:pPr>
      <w:r w:rsidRPr="00E131A0">
        <w:rPr>
          <w:rFonts w:ascii="Arial" w:eastAsia="Times New Roman" w:hAnsi="Arial" w:cs="Times New Roman"/>
          <w:b/>
          <w:color w:val="000000"/>
          <w:sz w:val="24"/>
          <w:szCs w:val="20"/>
          <w:lang w:val="es-UY" w:eastAsia="es-ES"/>
        </w:rPr>
        <w:t xml:space="preserve">ATENTO: 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val="es-UY" w:eastAsia="es-ES"/>
        </w:rPr>
        <w:t xml:space="preserve">a lo precedentemente expuesto y a lo establecido en el </w:t>
      </w:r>
      <w:r w:rsidR="007573AF">
        <w:rPr>
          <w:rFonts w:ascii="Arial" w:eastAsia="Times New Roman" w:hAnsi="Arial" w:cs="Times New Roman"/>
          <w:bCs/>
          <w:color w:val="000000"/>
          <w:sz w:val="24"/>
          <w:szCs w:val="20"/>
          <w:lang w:val="es-UY" w:eastAsia="es-ES"/>
        </w:rPr>
        <w:t>A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val="es-UY" w:eastAsia="es-ES"/>
        </w:rPr>
        <w:t xml:space="preserve">rtículo 211 </w:t>
      </w:r>
      <w:r w:rsidR="007573AF">
        <w:rPr>
          <w:rFonts w:ascii="Arial" w:eastAsia="Times New Roman" w:hAnsi="Arial" w:cs="Times New Roman"/>
          <w:bCs/>
          <w:color w:val="000000"/>
          <w:sz w:val="24"/>
          <w:szCs w:val="20"/>
          <w:lang w:val="es-UY" w:eastAsia="es-ES"/>
        </w:rPr>
        <w:t>L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val="es-UY" w:eastAsia="es-ES"/>
        </w:rPr>
        <w:t>iteral b) de la Constitución de la República;</w:t>
      </w:r>
    </w:p>
    <w:p w:rsidR="00E131A0" w:rsidRPr="00E131A0" w:rsidRDefault="00E131A0" w:rsidP="00E131A0">
      <w:pPr>
        <w:keepNext/>
        <w:spacing w:after="0" w:line="360" w:lineRule="auto"/>
        <w:jc w:val="center"/>
        <w:outlineLvl w:val="1"/>
        <w:rPr>
          <w:rFonts w:ascii="Arial" w:eastAsia="Times New Roman" w:hAnsi="Arial" w:cs="Times New Roman"/>
          <w:b/>
          <w:color w:val="000000"/>
          <w:sz w:val="24"/>
          <w:szCs w:val="20"/>
          <w:lang w:val="es-UY" w:eastAsia="es-ES"/>
        </w:rPr>
      </w:pPr>
      <w:r w:rsidRPr="00E131A0">
        <w:rPr>
          <w:rFonts w:ascii="Arial" w:eastAsia="Times New Roman" w:hAnsi="Arial" w:cs="Times New Roman"/>
          <w:b/>
          <w:color w:val="000000"/>
          <w:sz w:val="24"/>
          <w:szCs w:val="20"/>
          <w:lang w:val="es-UY" w:eastAsia="es-ES"/>
        </w:rPr>
        <w:t>EL TRIBUNAL ACUERDA</w:t>
      </w:r>
    </w:p>
    <w:p w:rsidR="00E131A0" w:rsidRPr="00E131A0" w:rsidRDefault="00E131A0" w:rsidP="00E131A0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</w:pPr>
      <w:r w:rsidRPr="00E131A0">
        <w:rPr>
          <w:rFonts w:ascii="Arial" w:eastAsia="Times New Roman" w:hAnsi="Arial" w:cs="Arial"/>
          <w:b/>
          <w:color w:val="000000"/>
          <w:sz w:val="24"/>
          <w:szCs w:val="20"/>
          <w:lang w:val="es-ES" w:eastAsia="es-ES"/>
        </w:rPr>
        <w:t>1)</w:t>
      </w:r>
      <w:r>
        <w:rPr>
          <w:rFonts w:ascii="Arial" w:eastAsia="Times New Roman" w:hAnsi="Arial" w:cs="Arial"/>
          <w:b/>
          <w:color w:val="000000"/>
          <w:sz w:val="24"/>
          <w:szCs w:val="20"/>
          <w:lang w:val="es-ES" w:eastAsia="es-ES"/>
        </w:rPr>
        <w:t xml:space="preserve"> </w:t>
      </w:r>
      <w:r w:rsidRPr="00E131A0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>No formular observaciones;</w:t>
      </w:r>
    </w:p>
    <w:p w:rsidR="00E131A0" w:rsidRDefault="00E131A0" w:rsidP="007573AF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</w:pPr>
      <w:r w:rsidRPr="00E131A0">
        <w:rPr>
          <w:rFonts w:ascii="Arial" w:eastAsia="Times New Roman" w:hAnsi="Arial" w:cs="Arial"/>
          <w:b/>
          <w:color w:val="000000"/>
          <w:sz w:val="24"/>
          <w:szCs w:val="20"/>
          <w:lang w:val="es-ES" w:eastAsia="es-ES"/>
        </w:rPr>
        <w:t>2)</w:t>
      </w:r>
      <w:r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 xml:space="preserve"> </w:t>
      </w:r>
      <w:r w:rsidRPr="00E131A0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 xml:space="preserve">Cometer </w:t>
      </w:r>
      <w:r w:rsidR="007573AF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 xml:space="preserve"> </w:t>
      </w:r>
      <w:r w:rsidRPr="00E131A0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>a</w:t>
      </w:r>
      <w:r w:rsidR="006E4B51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 xml:space="preserve"> </w:t>
      </w:r>
      <w:r w:rsidRPr="00E131A0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>l</w:t>
      </w:r>
      <w:r w:rsidR="006E4B51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>a</w:t>
      </w:r>
      <w:r w:rsidRPr="00E131A0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 xml:space="preserve"> </w:t>
      </w:r>
      <w:r w:rsidR="007573AF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 xml:space="preserve"> </w:t>
      </w:r>
      <w:r w:rsidRPr="00E131A0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>Contador</w:t>
      </w:r>
      <w:r w:rsidR="006E4B51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>a</w:t>
      </w:r>
      <w:r w:rsidRPr="00E131A0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 xml:space="preserve"> </w:t>
      </w:r>
      <w:r w:rsidR="007573AF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 xml:space="preserve"> </w:t>
      </w:r>
      <w:r w:rsidRPr="00E131A0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>Auditor</w:t>
      </w:r>
      <w:r w:rsidR="006E4B51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>a</w:t>
      </w:r>
      <w:r w:rsidRPr="00E131A0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 xml:space="preserve"> </w:t>
      </w:r>
      <w:r w:rsidR="007573AF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 xml:space="preserve"> destacad</w:t>
      </w:r>
      <w:r w:rsidR="006E4B51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>a</w:t>
      </w:r>
      <w:r w:rsidR="007573AF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 xml:space="preserve">  ante</w:t>
      </w:r>
      <w:r w:rsidRPr="00E131A0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 xml:space="preserve"> </w:t>
      </w:r>
      <w:r w:rsidR="007573AF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 xml:space="preserve"> </w:t>
      </w:r>
      <w:r w:rsidRPr="00E131A0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>el Ministerio de Economía y Finanzas, la</w:t>
      </w:r>
      <w:r w:rsidR="007573AF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 xml:space="preserve"> </w:t>
      </w:r>
      <w:r w:rsidRPr="00E131A0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>intervención del gasto emergente del llamado por un monto total de $ 7:642.680,55</w:t>
      </w:r>
      <w:r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 xml:space="preserve">, </w:t>
      </w:r>
      <w:r w:rsidRPr="00E131A0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 xml:space="preserve">a favor de la empresa GIBUR S.A., previo control de su imputación en el objeto del gasto, con disponibilidad suficiente, así como el cumplimiento de lo dispuesto en el </w:t>
      </w:r>
      <w:r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>Artículo</w:t>
      </w:r>
      <w:r w:rsidRPr="00E131A0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 xml:space="preserve"> 3 de la Ley </w:t>
      </w:r>
      <w:r w:rsidR="006E4B51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 xml:space="preserve">                  </w:t>
      </w:r>
      <w:r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>Nº 1</w:t>
      </w:r>
      <w:r w:rsidRPr="00E131A0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>8.244 (</w:t>
      </w:r>
      <w:bookmarkStart w:id="0" w:name="_GoBack"/>
      <w:bookmarkEnd w:id="0"/>
      <w:r w:rsidRPr="00E131A0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>Deudores Alimentarios);</w:t>
      </w:r>
    </w:p>
    <w:p w:rsidR="00E131A0" w:rsidRDefault="00E131A0" w:rsidP="00E131A0">
      <w:pPr>
        <w:tabs>
          <w:tab w:val="num" w:pos="720"/>
        </w:tabs>
        <w:spacing w:after="0" w:line="360" w:lineRule="auto"/>
        <w:jc w:val="both"/>
        <w:rPr>
          <w:rFonts w:ascii="Arial" w:eastAsia="Times New Roman" w:hAnsi="Arial" w:cs="Times New Roman"/>
          <w:bCs/>
          <w:color w:val="000000"/>
          <w:sz w:val="24"/>
          <w:szCs w:val="20"/>
          <w:lang w:val="es-ES" w:eastAsia="es-ES"/>
        </w:rPr>
      </w:pPr>
      <w:r w:rsidRPr="00E131A0">
        <w:rPr>
          <w:rFonts w:ascii="Arial" w:eastAsia="Times New Roman" w:hAnsi="Arial" w:cs="Arial"/>
          <w:b/>
          <w:color w:val="000000"/>
          <w:sz w:val="24"/>
          <w:szCs w:val="20"/>
          <w:lang w:val="es-ES" w:eastAsia="es-ES"/>
        </w:rPr>
        <w:t>3)</w:t>
      </w:r>
      <w:r>
        <w:rPr>
          <w:rFonts w:ascii="Arial" w:eastAsia="Times New Roman" w:hAnsi="Arial" w:cs="Times New Roman"/>
          <w:bCs/>
          <w:color w:val="000000"/>
          <w:sz w:val="24"/>
          <w:szCs w:val="20"/>
          <w:lang w:val="es-ES" w:eastAsia="es-ES"/>
        </w:rPr>
        <w:t xml:space="preserve"> 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val="es-ES" w:eastAsia="es-ES"/>
        </w:rPr>
        <w:t xml:space="preserve">Tener presente lo </w:t>
      </w:r>
      <w:r w:rsidR="007573AF">
        <w:rPr>
          <w:rFonts w:ascii="Arial" w:eastAsia="Times New Roman" w:hAnsi="Arial" w:cs="Times New Roman"/>
          <w:bCs/>
          <w:color w:val="000000"/>
          <w:sz w:val="24"/>
          <w:szCs w:val="20"/>
          <w:lang w:val="es-ES" w:eastAsia="es-ES"/>
        </w:rPr>
        <w:t>expres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val="es-ES" w:eastAsia="es-ES"/>
        </w:rPr>
        <w:t>ado en el Considerando 2);</w:t>
      </w:r>
    </w:p>
    <w:p w:rsidR="00E131A0" w:rsidRPr="00E131A0" w:rsidRDefault="00E131A0" w:rsidP="00E131A0">
      <w:pPr>
        <w:tabs>
          <w:tab w:val="num" w:pos="720"/>
        </w:tabs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</w:pPr>
      <w:r w:rsidRPr="00E131A0">
        <w:rPr>
          <w:rFonts w:ascii="Arial" w:eastAsia="Times New Roman" w:hAnsi="Arial" w:cs="Times New Roman"/>
          <w:b/>
          <w:bCs/>
          <w:color w:val="000000"/>
          <w:sz w:val="24"/>
          <w:szCs w:val="20"/>
          <w:lang w:val="es-ES" w:eastAsia="es-ES"/>
        </w:rPr>
        <w:t>4)</w:t>
      </w:r>
      <w:r>
        <w:rPr>
          <w:rFonts w:ascii="Arial" w:eastAsia="Times New Roman" w:hAnsi="Arial" w:cs="Times New Roman"/>
          <w:bCs/>
          <w:color w:val="000000"/>
          <w:sz w:val="24"/>
          <w:szCs w:val="20"/>
          <w:lang w:val="es-ES" w:eastAsia="es-ES"/>
        </w:rPr>
        <w:t xml:space="preserve"> 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val="es-ES" w:eastAsia="es-ES"/>
        </w:rPr>
        <w:t>Comunicar a</w:t>
      </w:r>
      <w:r w:rsidR="00DB689F">
        <w:rPr>
          <w:rFonts w:ascii="Arial" w:eastAsia="Times New Roman" w:hAnsi="Arial" w:cs="Times New Roman"/>
          <w:bCs/>
          <w:color w:val="000000"/>
          <w:sz w:val="24"/>
          <w:szCs w:val="20"/>
          <w:lang w:val="es-ES" w:eastAsia="es-ES"/>
        </w:rPr>
        <w:t xml:space="preserve"> 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val="es-ES" w:eastAsia="es-ES"/>
        </w:rPr>
        <w:t>l</w:t>
      </w:r>
      <w:r w:rsidR="00DB689F">
        <w:rPr>
          <w:rFonts w:ascii="Arial" w:eastAsia="Times New Roman" w:hAnsi="Arial" w:cs="Times New Roman"/>
          <w:bCs/>
          <w:color w:val="000000"/>
          <w:sz w:val="24"/>
          <w:szCs w:val="20"/>
          <w:lang w:val="es-ES" w:eastAsia="es-ES"/>
        </w:rPr>
        <w:t>a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val="es-ES" w:eastAsia="es-ES"/>
        </w:rPr>
        <w:t xml:space="preserve"> Contador</w:t>
      </w:r>
      <w:r w:rsidR="00DB689F">
        <w:rPr>
          <w:rFonts w:ascii="Arial" w:eastAsia="Times New Roman" w:hAnsi="Arial" w:cs="Times New Roman"/>
          <w:bCs/>
          <w:color w:val="000000"/>
          <w:sz w:val="24"/>
          <w:szCs w:val="20"/>
          <w:lang w:val="es-ES" w:eastAsia="es-ES"/>
        </w:rPr>
        <w:t>a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val="es-ES" w:eastAsia="es-ES"/>
        </w:rPr>
        <w:t xml:space="preserve"> Auditor</w:t>
      </w:r>
      <w:r w:rsidR="00DB689F">
        <w:rPr>
          <w:rFonts w:ascii="Arial" w:eastAsia="Times New Roman" w:hAnsi="Arial" w:cs="Times New Roman"/>
          <w:bCs/>
          <w:color w:val="000000"/>
          <w:sz w:val="24"/>
          <w:szCs w:val="20"/>
          <w:lang w:val="es-ES" w:eastAsia="es-ES"/>
        </w:rPr>
        <w:t>a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val="es-ES" w:eastAsia="es-ES"/>
        </w:rPr>
        <w:t>;</w:t>
      </w:r>
    </w:p>
    <w:p w:rsidR="006E4B51" w:rsidRDefault="00E131A0" w:rsidP="00C927FC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</w:pPr>
      <w:r w:rsidRPr="00E131A0">
        <w:rPr>
          <w:rFonts w:ascii="Arial" w:eastAsia="Times New Roman" w:hAnsi="Arial" w:cs="Times New Roman"/>
          <w:b/>
          <w:bCs/>
          <w:color w:val="000000"/>
          <w:sz w:val="24"/>
          <w:szCs w:val="20"/>
          <w:lang w:val="es-ES" w:eastAsia="es-ES"/>
        </w:rPr>
        <w:t>5)</w:t>
      </w:r>
      <w:r>
        <w:rPr>
          <w:rFonts w:ascii="Arial" w:eastAsia="Times New Roman" w:hAnsi="Arial" w:cs="Times New Roman"/>
          <w:b/>
          <w:bCs/>
          <w:color w:val="000000"/>
          <w:sz w:val="24"/>
          <w:szCs w:val="20"/>
          <w:lang w:val="es-ES" w:eastAsia="es-ES"/>
        </w:rPr>
        <w:t xml:space="preserve"> </w:t>
      </w:r>
      <w:r w:rsidRPr="00E131A0">
        <w:rPr>
          <w:rFonts w:ascii="Arial" w:eastAsia="Times New Roman" w:hAnsi="Arial" w:cs="Times New Roman"/>
          <w:bCs/>
          <w:color w:val="000000"/>
          <w:sz w:val="24"/>
          <w:szCs w:val="20"/>
          <w:lang w:val="es-ES" w:eastAsia="es-ES"/>
        </w:rPr>
        <w:t>Devolver las actuaciones</w:t>
      </w:r>
      <w:r w:rsidR="00C927FC">
        <w:rPr>
          <w:rFonts w:ascii="Arial" w:eastAsia="Times New Roman" w:hAnsi="Arial" w:cs="Times New Roman"/>
          <w:bCs/>
          <w:color w:val="000000"/>
          <w:sz w:val="24"/>
          <w:szCs w:val="20"/>
          <w:lang w:val="es-ES" w:eastAsia="es-ES"/>
        </w:rPr>
        <w:t>.</w:t>
      </w:r>
    </w:p>
    <w:p w:rsidR="006E4B51" w:rsidRDefault="006E4B51" w:rsidP="00E131A0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</w:pPr>
    </w:p>
    <w:p w:rsidR="006E4B51" w:rsidRDefault="006E4B51" w:rsidP="00E131A0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</w:pPr>
    </w:p>
    <w:p w:rsidR="00E131A0" w:rsidRPr="006E4B51" w:rsidRDefault="00E131A0" w:rsidP="00E131A0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</w:pPr>
      <w:proofErr w:type="spellStart"/>
      <w:proofErr w:type="gramStart"/>
      <w:r w:rsidRPr="006E4B51">
        <w:rPr>
          <w:rFonts w:ascii="Arial" w:eastAsia="Times New Roman" w:hAnsi="Arial" w:cs="Arial"/>
          <w:bCs/>
          <w:color w:val="000000"/>
          <w:sz w:val="24"/>
          <w:szCs w:val="20"/>
          <w:lang w:val="es-ES" w:eastAsia="es-ES"/>
        </w:rPr>
        <w:t>mb</w:t>
      </w:r>
      <w:proofErr w:type="spellEnd"/>
      <w:proofErr w:type="gramEnd"/>
    </w:p>
    <w:sectPr w:rsidR="00E131A0" w:rsidRPr="006E4B51" w:rsidSect="007B5720">
      <w:pgSz w:w="11906" w:h="16838" w:code="9"/>
      <w:pgMar w:top="323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A0"/>
    <w:rsid w:val="00317701"/>
    <w:rsid w:val="003A6776"/>
    <w:rsid w:val="00485E1D"/>
    <w:rsid w:val="00575990"/>
    <w:rsid w:val="006E4B51"/>
    <w:rsid w:val="007573AF"/>
    <w:rsid w:val="007B5720"/>
    <w:rsid w:val="00976C80"/>
    <w:rsid w:val="00C927FC"/>
    <w:rsid w:val="00DB689F"/>
    <w:rsid w:val="00E1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2401A5-C2C3-4E58-B929-9B69C47C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Marcello Brienza</cp:lastModifiedBy>
  <cp:revision>3</cp:revision>
  <cp:lastPrinted>2013-11-21T17:18:00Z</cp:lastPrinted>
  <dcterms:created xsi:type="dcterms:W3CDTF">2013-11-21T17:18:00Z</dcterms:created>
  <dcterms:modified xsi:type="dcterms:W3CDTF">2013-11-21T17:43:00Z</dcterms:modified>
</cp:coreProperties>
</file>