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EA" w:rsidRDefault="00B06BEA">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B06BEA" w:rsidRDefault="00B06BEA">
      <w:pPr>
        <w:tabs>
          <w:tab w:val="left" w:pos="-720"/>
        </w:tabs>
        <w:suppressAutoHyphens/>
        <w:jc w:val="center"/>
        <w:rPr>
          <w:rFonts w:ascii="Helvetica" w:hAnsi="Helvetica"/>
          <w:b/>
          <w:lang w:val="es-ES_tradnl"/>
        </w:rPr>
      </w:pPr>
    </w:p>
    <w:p w:rsidR="00B06BEA" w:rsidRDefault="00B06BEA">
      <w:pPr>
        <w:tabs>
          <w:tab w:val="center" w:pos="4253"/>
        </w:tabs>
        <w:suppressAutoHyphens/>
        <w:jc w:val="center"/>
        <w:rPr>
          <w:rFonts w:ascii="Helvetica" w:hAnsi="Helvetica"/>
          <w:b/>
          <w:lang w:val="es-ES_tradnl"/>
        </w:rPr>
      </w:pPr>
      <w:r>
        <w:rPr>
          <w:rFonts w:ascii="Helvetica" w:hAnsi="Helvetica"/>
          <w:b/>
          <w:lang w:val="es-ES_tradnl"/>
        </w:rPr>
        <w:t>TRIBUNAL DE CUENTAS</w:t>
      </w:r>
    </w:p>
    <w:p w:rsidR="00B06BEA" w:rsidRDefault="00B06BEA">
      <w:pPr>
        <w:tabs>
          <w:tab w:val="left" w:pos="-720"/>
        </w:tabs>
        <w:suppressAutoHyphens/>
        <w:jc w:val="center"/>
        <w:rPr>
          <w:rFonts w:ascii="Helvetica" w:hAnsi="Helvetica"/>
          <w:b/>
          <w:lang w:val="es-ES_tradnl"/>
        </w:rPr>
      </w:pPr>
    </w:p>
    <w:p w:rsidR="00B06BEA" w:rsidRDefault="00B06BEA">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B06BEA" w:rsidRDefault="00B06BEA">
      <w:pPr>
        <w:tabs>
          <w:tab w:val="center" w:pos="4253"/>
        </w:tabs>
        <w:suppressAutoHyphens/>
        <w:jc w:val="center"/>
        <w:rPr>
          <w:rFonts w:ascii="Helvetica" w:hAnsi="Helvetica"/>
          <w:b/>
          <w:lang w:val="es-ES_tradnl"/>
        </w:rPr>
      </w:pPr>
    </w:p>
    <w:p w:rsidR="00B06BEA" w:rsidRDefault="00B06BEA">
      <w:pPr>
        <w:tabs>
          <w:tab w:val="center" w:pos="4253"/>
        </w:tabs>
        <w:suppressAutoHyphens/>
        <w:jc w:val="center"/>
        <w:rPr>
          <w:rFonts w:ascii="Helvetica" w:hAnsi="Helvetica"/>
          <w:b/>
          <w:lang w:val="es-UY"/>
        </w:rPr>
      </w:pPr>
      <w:r w:rsidRPr="00B06BEA">
        <w:rPr>
          <w:rFonts w:ascii="Helvetica" w:hAnsi="Helvetica"/>
          <w:b/>
          <w:lang w:val="es-UY"/>
        </w:rPr>
        <w:t xml:space="preserve">(E. E. Nº 2013-17-1-0004094, </w:t>
      </w:r>
      <w:proofErr w:type="spellStart"/>
      <w:r w:rsidRPr="00B06BEA">
        <w:rPr>
          <w:rFonts w:ascii="Helvetica" w:hAnsi="Helvetica"/>
          <w:b/>
          <w:lang w:val="es-UY"/>
        </w:rPr>
        <w:t>Ent</w:t>
      </w:r>
      <w:proofErr w:type="spellEnd"/>
      <w:r w:rsidRPr="00B06BEA">
        <w:rPr>
          <w:rFonts w:ascii="Helvetica" w:hAnsi="Helvetica"/>
          <w:b/>
          <w:lang w:val="es-UY"/>
        </w:rPr>
        <w:t>. N° 3618/13)</w:t>
      </w:r>
    </w:p>
    <w:p w:rsidR="0086067E" w:rsidRPr="00B06BEA" w:rsidRDefault="0086067E">
      <w:pPr>
        <w:tabs>
          <w:tab w:val="center" w:pos="4253"/>
        </w:tabs>
        <w:suppressAutoHyphens/>
        <w:jc w:val="center"/>
        <w:rPr>
          <w:rFonts w:ascii="Helvetica" w:hAnsi="Helvetica"/>
          <w:b/>
          <w:lang w:val="es-UY"/>
        </w:rPr>
      </w:pPr>
    </w:p>
    <w:p w:rsidR="00B06BEA" w:rsidRPr="00B06BEA" w:rsidRDefault="00B06BEA">
      <w:pPr>
        <w:tabs>
          <w:tab w:val="center" w:pos="4253"/>
        </w:tabs>
        <w:suppressAutoHyphens/>
        <w:jc w:val="center"/>
        <w:rPr>
          <w:spacing w:val="-3"/>
          <w:lang w:val="es-UY"/>
        </w:rPr>
      </w:pPr>
    </w:p>
    <w:p w:rsidR="009660D0" w:rsidRDefault="00B06BEA" w:rsidP="0086067E">
      <w:pPr>
        <w:spacing w:line="360" w:lineRule="auto"/>
        <w:ind w:firstLine="851"/>
        <w:jc w:val="both"/>
      </w:pPr>
      <w:r>
        <w:rPr>
          <w:b/>
        </w:rPr>
        <w:t>VISTO:</w:t>
      </w:r>
      <w:r>
        <w:t xml:space="preserve"> que este Tribunal ha examinado la Rendición de Cuentas y Balance de Ejecución Presupuestal de la Intendencia de Canelones correspondiente al ejercicio 2012;</w:t>
      </w:r>
    </w:p>
    <w:p w:rsidR="009660D0" w:rsidRDefault="00B06BEA" w:rsidP="0086067E">
      <w:pPr>
        <w:spacing w:line="360" w:lineRule="auto"/>
        <w:ind w:firstLine="851"/>
        <w:jc w:val="both"/>
      </w:pPr>
      <w:r>
        <w:rPr>
          <w:b/>
        </w:rPr>
        <w:t xml:space="preserve">RESULTANDO: </w:t>
      </w:r>
      <w:r>
        <w:t>que el examen se efectuó de acuerdo con Normas de Auditoria emitidas por la Organización Internacional de Entidades Fisc</w:t>
      </w:r>
      <w:r w:rsidR="0086067E">
        <w:t>alizadoras Superiores (INTOSAI);</w:t>
      </w:r>
    </w:p>
    <w:p w:rsidR="009660D0" w:rsidRDefault="00B06BEA" w:rsidP="0086067E">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9660D0" w:rsidRDefault="00B06BEA" w:rsidP="0086067E">
      <w:pPr>
        <w:spacing w:line="360" w:lineRule="auto"/>
        <w:ind w:firstLine="851"/>
        <w:jc w:val="both"/>
      </w:pPr>
      <w:r>
        <w:rPr>
          <w:b/>
        </w:rPr>
        <w:t xml:space="preserve">ATENTO: </w:t>
      </w:r>
      <w:r>
        <w:t>a lo dispuesto por el Artículo 211 Literal C) de la Constitución de la República;</w:t>
      </w:r>
    </w:p>
    <w:p w:rsidR="009660D0" w:rsidRDefault="00B06BEA">
      <w:pPr>
        <w:pStyle w:val="Ttulo1"/>
      </w:pPr>
      <w:r>
        <w:t>EL TRIBUNAL ACUERDA</w:t>
      </w:r>
    </w:p>
    <w:p w:rsidR="009660D0" w:rsidRDefault="00B06BEA">
      <w:pPr>
        <w:numPr>
          <w:ilvl w:val="0"/>
          <w:numId w:val="1"/>
        </w:numPr>
        <w:tabs>
          <w:tab w:val="left" w:pos="360"/>
        </w:tabs>
        <w:spacing w:line="360" w:lineRule="auto"/>
        <w:jc w:val="both"/>
      </w:pPr>
      <w:r>
        <w:t>Emitir su dictamen constitucional respecto a la Rendición de Cuentas y Balance de Ejecución Presupuestal de la Intendencia de Canelones correspondiente al Ejercicio 2012, en los términos del Info</w:t>
      </w:r>
      <w:r w:rsidR="0086067E">
        <w:t>rme de Auditoría que se adjunta;</w:t>
      </w:r>
    </w:p>
    <w:p w:rsidR="009660D0" w:rsidRDefault="00B06BEA">
      <w:pPr>
        <w:numPr>
          <w:ilvl w:val="0"/>
          <w:numId w:val="1"/>
        </w:numPr>
        <w:tabs>
          <w:tab w:val="left" w:pos="360"/>
        </w:tabs>
        <w:spacing w:line="360" w:lineRule="auto"/>
        <w:jc w:val="both"/>
      </w:pPr>
      <w:r>
        <w:t>Comunicar la presente Resolución a la Intendencia, a la Junta Departamental de Canelon</w:t>
      </w:r>
      <w:r w:rsidR="0086067E">
        <w:t>es y a los Contadores Delegados;</w:t>
      </w:r>
    </w:p>
    <w:p w:rsidR="009660D0" w:rsidRDefault="00B06BEA">
      <w:pPr>
        <w:numPr>
          <w:ilvl w:val="0"/>
          <w:numId w:val="1"/>
        </w:numPr>
        <w:tabs>
          <w:tab w:val="left" w:pos="360"/>
        </w:tabs>
        <w:spacing w:line="360" w:lineRule="auto"/>
        <w:jc w:val="both"/>
      </w:pPr>
      <w:r>
        <w:t>Dar cuenta a la Asamblea General.</w:t>
      </w:r>
    </w:p>
    <w:p w:rsidR="009660D0" w:rsidRDefault="009660D0">
      <w:pPr>
        <w:tabs>
          <w:tab w:val="left" w:pos="360"/>
        </w:tabs>
        <w:spacing w:line="360" w:lineRule="auto"/>
      </w:pPr>
    </w:p>
    <w:p w:rsidR="009660D0" w:rsidRDefault="009660D0">
      <w:pPr>
        <w:tabs>
          <w:tab w:val="left" w:pos="360"/>
        </w:tabs>
        <w:spacing w:line="360" w:lineRule="auto"/>
        <w:rPr>
          <w:sz w:val="16"/>
          <w:highlight w:val="yellow"/>
        </w:rPr>
      </w:pPr>
    </w:p>
    <w:p w:rsidR="0086067E" w:rsidRDefault="0086067E">
      <w:pPr>
        <w:tabs>
          <w:tab w:val="left" w:pos="360"/>
        </w:tabs>
        <w:spacing w:line="360" w:lineRule="auto"/>
        <w:rPr>
          <w:sz w:val="16"/>
          <w:highlight w:val="yellow"/>
        </w:rPr>
      </w:pPr>
    </w:p>
    <w:p w:rsidR="0086067E" w:rsidRDefault="0086067E">
      <w:pPr>
        <w:tabs>
          <w:tab w:val="left" w:pos="360"/>
        </w:tabs>
        <w:spacing w:line="360" w:lineRule="auto"/>
        <w:rPr>
          <w:sz w:val="16"/>
          <w:highlight w:val="yellow"/>
        </w:rPr>
      </w:pPr>
    </w:p>
    <w:p w:rsidR="009660D0" w:rsidRDefault="009660D0">
      <w:pPr>
        <w:tabs>
          <w:tab w:val="left" w:pos="360"/>
        </w:tabs>
        <w:spacing w:line="360" w:lineRule="auto"/>
        <w:rPr>
          <w:sz w:val="16"/>
          <w:highlight w:val="yellow"/>
        </w:rPr>
      </w:pPr>
    </w:p>
    <w:p w:rsidR="0086067E" w:rsidRDefault="0086067E" w:rsidP="0086067E">
      <w:pPr>
        <w:pStyle w:val="Ttulo1"/>
        <w:tabs>
          <w:tab w:val="right" w:leader="dot" w:pos="8494"/>
        </w:tabs>
        <w:ind w:left="432"/>
      </w:pPr>
      <w:bookmarkStart w:id="1" w:name="_Toc370823303"/>
      <w:r>
        <w:lastRenderedPageBreak/>
        <w:t>DICTAMEN</w:t>
      </w:r>
      <w:bookmarkEnd w:id="1"/>
    </w:p>
    <w:p w:rsidR="0086067E" w:rsidRDefault="0086067E" w:rsidP="0086067E">
      <w:pPr>
        <w:pStyle w:val="Standard"/>
      </w:pPr>
    </w:p>
    <w:p w:rsidR="0086067E" w:rsidRDefault="0086067E" w:rsidP="0086067E">
      <w:pPr>
        <w:pStyle w:val="Standard"/>
        <w:spacing w:line="360" w:lineRule="auto"/>
        <w:jc w:val="both"/>
        <w:rPr>
          <w:lang w:val="es-MX"/>
        </w:rPr>
      </w:pPr>
      <w:r>
        <w:rPr>
          <w:lang w:val="es-MX"/>
        </w:rPr>
        <w:t>El Tribunal de Cuentas ha examinado la Rendición de Cuentas y el Balance de Ejecución Presupuestal de la Intendencia de Canelones correspondiente al Ejercicio 2012, que  incluye los siguientes estados: E</w:t>
      </w:r>
      <w:proofErr w:type="spellStart"/>
      <w:r>
        <w:t>jecución</w:t>
      </w:r>
      <w:proofErr w:type="spellEnd"/>
      <w:r>
        <w:t xml:space="preserve"> Presupuestal con Relación a los Recursos y a los Créditos, Resultado del Ejercicio, Resultado Acumulado y otros estados complementarios</w:t>
      </w:r>
      <w:r>
        <w:rPr>
          <w:lang w:val="es-MX"/>
        </w:rPr>
        <w:t>.</w:t>
      </w:r>
    </w:p>
    <w:p w:rsidR="0086067E" w:rsidRDefault="0086067E" w:rsidP="0086067E">
      <w:pPr>
        <w:pStyle w:val="Standard"/>
        <w:spacing w:line="360" w:lineRule="auto"/>
        <w:jc w:val="both"/>
      </w:pPr>
      <w:r>
        <w:t>El Tribunal de Cuentas también ha auditado el cumplimiento por parte de la Intendencia de la normativa vigente.</w:t>
      </w:r>
    </w:p>
    <w:p w:rsidR="0086067E" w:rsidRDefault="0086067E" w:rsidP="0086067E">
      <w:pPr>
        <w:pStyle w:val="Standard"/>
        <w:spacing w:line="360" w:lineRule="auto"/>
        <w:jc w:val="both"/>
      </w:pPr>
    </w:p>
    <w:p w:rsidR="0086067E" w:rsidRDefault="0086067E" w:rsidP="0086067E">
      <w:pPr>
        <w:pStyle w:val="Standard"/>
        <w:keepNext/>
        <w:spacing w:line="360" w:lineRule="auto"/>
        <w:jc w:val="both"/>
        <w:rPr>
          <w:b/>
          <w:bCs/>
        </w:rPr>
      </w:pPr>
      <w:r>
        <w:rPr>
          <w:b/>
          <w:bCs/>
        </w:rPr>
        <w:t>Responsabilidad de la Intendencia</w:t>
      </w:r>
    </w:p>
    <w:p w:rsidR="0086067E" w:rsidRDefault="0086067E" w:rsidP="0086067E">
      <w:pPr>
        <w:pStyle w:val="Standard"/>
        <w:spacing w:line="360" w:lineRule="auto"/>
        <w:jc w:val="both"/>
      </w:pPr>
      <w:r>
        <w:t>La Intendencia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86067E" w:rsidRDefault="0086067E" w:rsidP="0086067E">
      <w:pPr>
        <w:pStyle w:val="Standard"/>
        <w:spacing w:line="360" w:lineRule="auto"/>
        <w:jc w:val="both"/>
      </w:pPr>
    </w:p>
    <w:p w:rsidR="0086067E" w:rsidRDefault="0086067E" w:rsidP="0086067E">
      <w:pPr>
        <w:pStyle w:val="Standard"/>
        <w:keepNext/>
        <w:spacing w:line="360" w:lineRule="auto"/>
        <w:jc w:val="both"/>
        <w:rPr>
          <w:b/>
          <w:bCs/>
        </w:rPr>
      </w:pPr>
      <w:r>
        <w:rPr>
          <w:b/>
          <w:bCs/>
        </w:rPr>
        <w:t>Responsabilidad del Auditor</w:t>
      </w:r>
    </w:p>
    <w:p w:rsidR="0086067E" w:rsidRDefault="0086067E" w:rsidP="0086067E">
      <w:pPr>
        <w:pStyle w:val="Standard"/>
        <w:spacing w:line="360" w:lineRule="auto"/>
        <w:jc w:val="both"/>
      </w:pPr>
      <w:r>
        <w:t>La responsabilidad del Tribunal de Cuentas es expresar una opinión sobre dichos estados contables basada en la auditoría realizada. Esta auditoría fue practicada de acuerdo a los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86067E" w:rsidRDefault="0086067E" w:rsidP="0086067E">
      <w:pPr>
        <w:pStyle w:val="Standard"/>
        <w:spacing w:line="360" w:lineRule="auto"/>
        <w:jc w:val="both"/>
      </w:pPr>
    </w:p>
    <w:p w:rsidR="0086067E" w:rsidRDefault="0086067E" w:rsidP="0086067E">
      <w:pPr>
        <w:pStyle w:val="Standard"/>
        <w:spacing w:line="360" w:lineRule="auto"/>
        <w:jc w:val="both"/>
      </w:pPr>
      <w:r>
        <w:lastRenderedPageBreak/>
        <w:t>Una auditoría implica realizar procedimientos para obtener evidencia acerca de los montos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86067E" w:rsidRDefault="0086067E" w:rsidP="0086067E">
      <w:pPr>
        <w:pStyle w:val="Standard"/>
        <w:spacing w:line="360" w:lineRule="auto"/>
        <w:jc w:val="both"/>
      </w:pPr>
    </w:p>
    <w:p w:rsidR="0086067E" w:rsidRDefault="0086067E" w:rsidP="0086067E">
      <w:pPr>
        <w:pStyle w:val="Textoindependiente"/>
        <w:spacing w:line="360" w:lineRule="auto"/>
        <w:jc w:val="both"/>
        <w:rPr>
          <w:rFonts w:ascii="Arial" w:hAnsi="Arial" w:cs="Arial"/>
          <w:b/>
          <w:bCs/>
        </w:rPr>
      </w:pPr>
      <w:r>
        <w:rPr>
          <w:rFonts w:ascii="Arial" w:hAnsi="Arial" w:cs="Arial"/>
          <w:b/>
          <w:bCs/>
        </w:rPr>
        <w:t>Opinión</w:t>
      </w:r>
    </w:p>
    <w:p w:rsidR="0086067E" w:rsidRDefault="0086067E" w:rsidP="0086067E">
      <w:pPr>
        <w:pStyle w:val="Textoindependiente3"/>
        <w:rPr>
          <w:rFonts w:cs="Arial"/>
        </w:rPr>
      </w:pPr>
      <w:r>
        <w:t xml:space="preserve">En opinión del Tribunal de Cuentas, los estados mencionados presentan razonablemente, en todos sus aspectos importantes, la ejecución presupuestal en relación a los recursos y a los créditos, el resultado del ejercicio 2012 y el resultado acumulado al 31 de diciembre de 2012, de acuerdo a las normas </w:t>
      </w:r>
      <w:r>
        <w:rPr>
          <w:rFonts w:cs="Arial"/>
        </w:rPr>
        <w:t>establecidas en el TOCAF y a la Resolución de este Tribunal de fecha 28/01/04.</w:t>
      </w:r>
    </w:p>
    <w:p w:rsidR="0086067E" w:rsidRDefault="0086067E" w:rsidP="0086067E">
      <w:pPr>
        <w:pStyle w:val="Textoindependiente2"/>
        <w:rPr>
          <w:lang w:val="es-ES"/>
        </w:rPr>
      </w:pPr>
      <w:r>
        <w:rPr>
          <w:lang w:val="es-ES"/>
        </w:rPr>
        <w:t xml:space="preserve">Con relación al cumplimiento de las disposiciones legales que fueron objeto de examen y en aplicación de lo dispuesto por el artículo 211 </w:t>
      </w:r>
      <w:proofErr w:type="gramStart"/>
      <w:r>
        <w:rPr>
          <w:lang w:val="es-ES"/>
        </w:rPr>
        <w:t>literales</w:t>
      </w:r>
      <w:proofErr w:type="gramEnd"/>
      <w:r>
        <w:rPr>
          <w:lang w:val="es-ES"/>
        </w:rPr>
        <w:t xml:space="preserve"> C) y E) de la Constitución de la República, en opinión del Tribunal de Cuentas no se ha dado cumplimiento a las siguientes normas:</w:t>
      </w:r>
    </w:p>
    <w:p w:rsidR="0086067E" w:rsidRDefault="0086067E" w:rsidP="0086067E">
      <w:pPr>
        <w:pStyle w:val="Standard"/>
        <w:tabs>
          <w:tab w:val="left" w:pos="0"/>
        </w:tabs>
        <w:spacing w:line="360" w:lineRule="auto"/>
        <w:jc w:val="both"/>
      </w:pPr>
      <w:r>
        <w:rPr>
          <w:b/>
          <w:bCs/>
        </w:rPr>
        <w:t xml:space="preserve">1) Artículo 86 de la Constitución de la República. </w:t>
      </w:r>
      <w:r>
        <w:t>Durante el Ejercicio 2012 se abonaron a algunos funcionarios partidas por concepto de compensaciones</w:t>
      </w:r>
      <w:r>
        <w:rPr>
          <w:shd w:val="clear" w:color="auto" w:fill="FFFF00"/>
        </w:rPr>
        <w:t xml:space="preserve"> </w:t>
      </w:r>
      <w:r>
        <w:t>especiales, las cuales no fueron establecidas en la instancia presupuestal.</w:t>
      </w:r>
    </w:p>
    <w:p w:rsidR="0086067E" w:rsidRDefault="0086067E" w:rsidP="0086067E">
      <w:pPr>
        <w:pStyle w:val="Standard"/>
        <w:tabs>
          <w:tab w:val="left" w:pos="0"/>
        </w:tabs>
        <w:spacing w:line="360" w:lineRule="auto"/>
        <w:jc w:val="both"/>
      </w:pPr>
      <w:r>
        <w:rPr>
          <w:b/>
          <w:bCs/>
        </w:rPr>
        <w:t xml:space="preserve">2) Artículo 211 Literal B) de la Constitución de la República y Artículos 23 y  87 del TOCAF. </w:t>
      </w:r>
      <w:r>
        <w:t>Se efectuaron contratos de cachet y pagos, careciendo de la intervención preventiva del Contador Delegado.</w:t>
      </w:r>
    </w:p>
    <w:p w:rsidR="0086067E" w:rsidRDefault="0086067E" w:rsidP="0086067E">
      <w:pPr>
        <w:pStyle w:val="Standard"/>
        <w:tabs>
          <w:tab w:val="left" w:pos="0"/>
        </w:tabs>
        <w:spacing w:line="360" w:lineRule="auto"/>
        <w:jc w:val="both"/>
      </w:pPr>
      <w:r>
        <w:rPr>
          <w:b/>
          <w:bCs/>
        </w:rPr>
        <w:lastRenderedPageBreak/>
        <w:t>3) Artículos 225 y 227 de la Constitución de la República, Ordenanza N° 71 y Resolución de este Tribunal, de 01/07/1998.</w:t>
      </w:r>
      <w:r>
        <w:t xml:space="preserve"> La Junta Departamental  aceptó las observaciones formuladas por este Tribunal respecto a la Modificación Presupuestal 2012-2015, pero no se efectuaron las modificaciones necesarias a efectos de subsanar las mismas en su totalidad.</w:t>
      </w:r>
    </w:p>
    <w:p w:rsidR="0086067E" w:rsidRDefault="0086067E" w:rsidP="0086067E">
      <w:pPr>
        <w:pStyle w:val="Textoindependiente"/>
        <w:spacing w:line="360" w:lineRule="auto"/>
        <w:jc w:val="both"/>
        <w:rPr>
          <w:rFonts w:ascii="Arial" w:hAnsi="Arial" w:cs="Arial"/>
        </w:rPr>
      </w:pPr>
      <w:r>
        <w:rPr>
          <w:rFonts w:ascii="Arial" w:hAnsi="Arial" w:cs="Arial"/>
          <w:b/>
          <w:bCs/>
        </w:rPr>
        <w:t xml:space="preserve">4) Artículo 289 de la Constitución de la República, Artículo 32 de la Ley Nº 11.923 y Artículo 10 de la Ley Nº 18.567 </w:t>
      </w:r>
      <w:r>
        <w:rPr>
          <w:rFonts w:ascii="Arial" w:hAnsi="Arial" w:cs="Arial"/>
          <w:b/>
          <w:bCs/>
          <w:spacing w:val="-8"/>
        </w:rPr>
        <w:t xml:space="preserve">modificado por la Ley N° 18.665. </w:t>
      </w:r>
      <w:r>
        <w:rPr>
          <w:rFonts w:ascii="Arial" w:hAnsi="Arial" w:cs="Arial"/>
        </w:rPr>
        <w:t>Se efectuaron pagos de haberes a un Alcalde contraviniendo lo dispuesto por estas normas. Los mismos fueron observados por los Contadores Delegados.</w:t>
      </w:r>
    </w:p>
    <w:p w:rsidR="0086067E" w:rsidRDefault="0086067E" w:rsidP="0086067E">
      <w:pPr>
        <w:pStyle w:val="Standard"/>
        <w:tabs>
          <w:tab w:val="left" w:pos="0"/>
        </w:tabs>
        <w:spacing w:line="360" w:lineRule="auto"/>
        <w:jc w:val="both"/>
      </w:pPr>
      <w:r>
        <w:rPr>
          <w:b/>
          <w:bCs/>
        </w:rPr>
        <w:t>5) Artículos 4, 5 y 11 del TOCAF.</w:t>
      </w:r>
      <w:r>
        <w:t xml:space="preserve"> La Comuna no deposita íntegramente las recaudaciones de algunos Municipios y de la Tesorería Municipal, realizando pagos con dichos fondos.</w:t>
      </w:r>
    </w:p>
    <w:p w:rsidR="0086067E" w:rsidRDefault="0086067E" w:rsidP="0086067E">
      <w:pPr>
        <w:pStyle w:val="Standard"/>
        <w:tabs>
          <w:tab w:val="left" w:pos="0"/>
        </w:tabs>
        <w:spacing w:line="360" w:lineRule="auto"/>
        <w:jc w:val="both"/>
      </w:pPr>
      <w:r>
        <w:rPr>
          <w:b/>
          <w:bCs/>
        </w:rPr>
        <w:t xml:space="preserve">6) Artículo 14 del TOCAF. </w:t>
      </w:r>
      <w:r>
        <w:t>No se imputaron presupuestalmente la totalidad de los gastos. Asimismo, se efectuaron gastos cuyos comprobantes no correspondían al período autorizado para el mismo, lo que fue observado por los Contadores Delegados.</w:t>
      </w:r>
    </w:p>
    <w:p w:rsidR="0086067E" w:rsidRDefault="0086067E" w:rsidP="0086067E">
      <w:pPr>
        <w:pStyle w:val="Standard"/>
        <w:tabs>
          <w:tab w:val="left" w:pos="0"/>
        </w:tabs>
        <w:spacing w:line="360" w:lineRule="auto"/>
        <w:jc w:val="both"/>
      </w:pPr>
      <w:r>
        <w:rPr>
          <w:b/>
          <w:bCs/>
        </w:rPr>
        <w:t xml:space="preserve">7) Articulo 16 del TOCAF. </w:t>
      </w:r>
      <w:r>
        <w:t>Se realizaron imputaciones de gastos a objetos distintos a los que hubiera correspondido en el período enero-agosto, lo que fue observado por los Contadores Delegados.</w:t>
      </w:r>
    </w:p>
    <w:p w:rsidR="0086067E" w:rsidRDefault="0086067E" w:rsidP="0086067E">
      <w:pPr>
        <w:pStyle w:val="Standard"/>
        <w:tabs>
          <w:tab w:val="left" w:pos="0"/>
        </w:tabs>
        <w:spacing w:line="360" w:lineRule="auto"/>
        <w:jc w:val="both"/>
      </w:pPr>
      <w:r>
        <w:rPr>
          <w:b/>
          <w:bCs/>
        </w:rPr>
        <w:t xml:space="preserve">8) Artículos 33 y 43 del TOCAF. </w:t>
      </w:r>
      <w:r>
        <w:t>No se ha dado cumplimiento a estas normas, ya que se efectuaron adquisiciones de artículos de un mismo ramo en forma fraccionada, sin dejar constancia de sus fundamentos. Asimismo, no se tuvieron en cuenta las necesidades previstas para todo el ejercicio, omitiéndose la aplicación de los procedimientos de contratación que hubieran correspondido de acuerdo al monto.</w:t>
      </w:r>
    </w:p>
    <w:p w:rsidR="0086067E" w:rsidRDefault="0086067E" w:rsidP="0086067E">
      <w:pPr>
        <w:pStyle w:val="Standard"/>
        <w:tabs>
          <w:tab w:val="left" w:pos="0"/>
        </w:tabs>
        <w:spacing w:line="360" w:lineRule="auto"/>
        <w:jc w:val="both"/>
      </w:pPr>
      <w:r>
        <w:rPr>
          <w:b/>
          <w:bCs/>
        </w:rPr>
        <w:t xml:space="preserve">9) Artículos 84 y 97 del TOCAF. </w:t>
      </w:r>
      <w:r>
        <w:t>La Intendencia posee un inventario   parcialmente valuado.</w:t>
      </w:r>
    </w:p>
    <w:p w:rsidR="0086067E" w:rsidRDefault="0086067E" w:rsidP="0086067E">
      <w:pPr>
        <w:pStyle w:val="Standard"/>
        <w:tabs>
          <w:tab w:val="left" w:pos="1080"/>
        </w:tabs>
        <w:spacing w:line="360" w:lineRule="auto"/>
        <w:jc w:val="both"/>
      </w:pPr>
      <w:r>
        <w:rPr>
          <w:b/>
          <w:bCs/>
        </w:rPr>
        <w:t xml:space="preserve">10) Artículos 89 y 90 del TOCAF. </w:t>
      </w:r>
      <w:r>
        <w:t xml:space="preserve">Se adquirieron por caja chica y fondos permanentes artículos de inversiones o gastos que no corresponden a </w:t>
      </w:r>
      <w:r>
        <w:lastRenderedPageBreak/>
        <w:t>necesidades momentáneas del servicio, no son de funcionamiento ni de menor cuantía.</w:t>
      </w:r>
    </w:p>
    <w:p w:rsidR="0086067E" w:rsidRDefault="0086067E" w:rsidP="0086067E">
      <w:pPr>
        <w:pStyle w:val="Standard"/>
        <w:tabs>
          <w:tab w:val="left" w:pos="510"/>
          <w:tab w:val="left" w:pos="540"/>
        </w:tabs>
        <w:spacing w:line="360" w:lineRule="auto"/>
        <w:jc w:val="both"/>
      </w:pPr>
      <w:r>
        <w:rPr>
          <w:b/>
          <w:bCs/>
        </w:rPr>
        <w:t>11) Artículos 90 y 154 del TOCAF.</w:t>
      </w:r>
      <w:r>
        <w:t xml:space="preserve"> Los funcionarios que manejaron fondos y valores no poseen seguro de caución de fidelidad.</w:t>
      </w:r>
    </w:p>
    <w:p w:rsidR="0086067E" w:rsidRDefault="0086067E" w:rsidP="0086067E">
      <w:pPr>
        <w:pStyle w:val="Standard"/>
        <w:tabs>
          <w:tab w:val="left" w:pos="45"/>
          <w:tab w:val="left" w:pos="690"/>
        </w:tabs>
        <w:spacing w:line="360" w:lineRule="auto"/>
        <w:ind w:left="15"/>
        <w:jc w:val="both"/>
      </w:pPr>
      <w:r>
        <w:rPr>
          <w:b/>
          <w:bCs/>
        </w:rPr>
        <w:t xml:space="preserve">12) Artículo 94 del TOCAF y Ordenanza Nº 81 de este Tribunal. </w:t>
      </w:r>
      <w:r>
        <w:t>La Intendencia no ha remitido los estados e información complementaria exigidos por esta Ordenanza.</w:t>
      </w:r>
    </w:p>
    <w:p w:rsidR="0086067E" w:rsidRDefault="0086067E" w:rsidP="0086067E">
      <w:pPr>
        <w:pStyle w:val="Standard"/>
        <w:tabs>
          <w:tab w:val="left" w:pos="0"/>
        </w:tabs>
        <w:spacing w:line="360" w:lineRule="auto"/>
        <w:jc w:val="both"/>
      </w:pPr>
      <w:r>
        <w:rPr>
          <w:b/>
          <w:bCs/>
        </w:rPr>
        <w:t>13) Artículo 102 Numeral 3) del TOCAF.</w:t>
      </w:r>
      <w:r>
        <w:t xml:space="preserve"> En algunos casos se realiza la imputación previa de los gastos con posterioridad a la realización de los mismos.</w:t>
      </w:r>
    </w:p>
    <w:p w:rsidR="0086067E" w:rsidRDefault="0086067E" w:rsidP="0086067E">
      <w:pPr>
        <w:pStyle w:val="Standard"/>
        <w:tabs>
          <w:tab w:val="left" w:pos="30"/>
        </w:tabs>
        <w:spacing w:line="360" w:lineRule="auto"/>
        <w:ind w:left="30" w:hanging="314"/>
        <w:jc w:val="both"/>
      </w:pPr>
      <w:r>
        <w:rPr>
          <w:b/>
          <w:bCs/>
        </w:rPr>
        <w:t xml:space="preserve">    14) Artículo 119 del TOCAF.</w:t>
      </w:r>
      <w:r>
        <w:t xml:space="preserve"> No se realizaron en forma periódica arqueos de fondos y valores sorpresivos en la Tesorería de la Intendencia.</w:t>
      </w:r>
    </w:p>
    <w:p w:rsidR="0086067E" w:rsidRDefault="0086067E" w:rsidP="0086067E">
      <w:pPr>
        <w:pStyle w:val="Standard"/>
        <w:tabs>
          <w:tab w:val="left" w:pos="0"/>
        </w:tabs>
        <w:spacing w:line="360" w:lineRule="auto"/>
        <w:jc w:val="both"/>
      </w:pPr>
      <w:r>
        <w:rPr>
          <w:b/>
          <w:bCs/>
        </w:rPr>
        <w:t xml:space="preserve">15) Artículo 128 Numeral 1) del TOCAF. </w:t>
      </w:r>
      <w:r>
        <w:t>El estado demostrativo del grado de cumplimiento de los objetivos y metas programadas incluye información parcial sobre las metas previstas y alcanzadas y sobre su costo resultante.</w:t>
      </w:r>
    </w:p>
    <w:p w:rsidR="0086067E" w:rsidRDefault="0086067E" w:rsidP="0086067E">
      <w:pPr>
        <w:pStyle w:val="Standard"/>
        <w:tabs>
          <w:tab w:val="left" w:pos="0"/>
        </w:tabs>
        <w:spacing w:line="360" w:lineRule="auto"/>
        <w:jc w:val="both"/>
      </w:pPr>
      <w:r>
        <w:rPr>
          <w:b/>
          <w:bCs/>
        </w:rPr>
        <w:t xml:space="preserve">16) Articulo 132 del TOCAF. </w:t>
      </w:r>
      <w:r>
        <w:t>Se constataron fondos a rendir cuenta con una antigüedad superior a la establecida en esta norma.</w:t>
      </w:r>
    </w:p>
    <w:p w:rsidR="0086067E" w:rsidRDefault="0086067E" w:rsidP="0086067E">
      <w:pPr>
        <w:pStyle w:val="Standard"/>
        <w:tabs>
          <w:tab w:val="left" w:pos="0"/>
        </w:tabs>
        <w:spacing w:line="360" w:lineRule="auto"/>
        <w:jc w:val="both"/>
      </w:pPr>
      <w:r>
        <w:rPr>
          <w:b/>
          <w:bCs/>
        </w:rPr>
        <w:t>17) Artículo 81 Literal A) de la Ley N° 16.237.</w:t>
      </w:r>
      <w:r>
        <w:t xml:space="preserve"> No se realizaron la totalidad de los aportes al Fondo Nacional de Vivienda correspondientes al Ejercicio 2012.</w:t>
      </w:r>
    </w:p>
    <w:p w:rsidR="0086067E" w:rsidRDefault="0086067E" w:rsidP="0086067E">
      <w:pPr>
        <w:pStyle w:val="Standard"/>
        <w:tabs>
          <w:tab w:val="left" w:pos="0"/>
        </w:tabs>
        <w:spacing w:line="360" w:lineRule="auto"/>
        <w:jc w:val="both"/>
      </w:pPr>
      <w:r>
        <w:rPr>
          <w:b/>
        </w:rPr>
        <w:t>18) Artículo 12 Numeral 3 de la Ley N° 18.567.</w:t>
      </w:r>
      <w:r>
        <w:t xml:space="preserve"> En algunos Municipios no existe autorización previa de algunos gastos por parte del Concejo. </w:t>
      </w:r>
    </w:p>
    <w:p w:rsidR="0086067E" w:rsidRDefault="0086067E" w:rsidP="0086067E">
      <w:pPr>
        <w:pStyle w:val="Standard"/>
        <w:tabs>
          <w:tab w:val="left" w:pos="0"/>
        </w:tabs>
        <w:spacing w:line="360" w:lineRule="auto"/>
        <w:jc w:val="both"/>
      </w:pPr>
      <w:r>
        <w:rPr>
          <w:b/>
          <w:bCs/>
        </w:rPr>
        <w:t xml:space="preserve">19) Convenio N° 30 de la Organización Internacional del Trabajo. </w:t>
      </w:r>
      <w:r>
        <w:t>Las liquidaciones de horas extras realizadas en</w:t>
      </w:r>
      <w:r>
        <w:rPr>
          <w:b/>
          <w:bCs/>
        </w:rPr>
        <w:t xml:space="preserve"> </w:t>
      </w:r>
      <w:r>
        <w:t xml:space="preserve">el Ejercicio 2012, en algunos casos, no han estado dentro de las excepciones contempladas en este convenio. Estos gastos fueron observados por los Contadores Delegados.  </w:t>
      </w:r>
    </w:p>
    <w:p w:rsidR="0086067E" w:rsidRDefault="0086067E" w:rsidP="0086067E">
      <w:pPr>
        <w:pStyle w:val="Standard"/>
        <w:tabs>
          <w:tab w:val="left" w:pos="0"/>
        </w:tabs>
        <w:spacing w:line="360" w:lineRule="auto"/>
        <w:jc w:val="both"/>
      </w:pPr>
      <w:r>
        <w:rPr>
          <w:b/>
          <w:bCs/>
        </w:rPr>
        <w:t>20) Resolución Municipal Nº 781/12 de 16/02/2012.</w:t>
      </w:r>
      <w:r>
        <w:t xml:space="preserve"> Existen casos de funcionarios que percibieron remuneraciones equivalentes o superiores a determinados grados mencionados en  dicha Resolución, a los que se les liquidaron horas extras cuando no les correspondía.</w:t>
      </w:r>
    </w:p>
    <w:p w:rsidR="0086067E" w:rsidRDefault="0086067E" w:rsidP="0086067E">
      <w:pPr>
        <w:pStyle w:val="Standard"/>
        <w:tabs>
          <w:tab w:val="left" w:pos="0"/>
        </w:tabs>
        <w:spacing w:line="360" w:lineRule="auto"/>
        <w:jc w:val="both"/>
      </w:pPr>
      <w:r>
        <w:rPr>
          <w:b/>
          <w:bCs/>
        </w:rPr>
        <w:lastRenderedPageBreak/>
        <w:t>21) Resolución del Tribunal de Cuentas de 04/06/2003.</w:t>
      </w:r>
      <w:r>
        <w:t xml:space="preserve"> En oportunidad de efectuar contratos de cachet, no se controlaron las respectivas inscripciones en el Banco de Previsión Social y la Dirección General Impositiva de los contratados ni su calidad de no ser funcionario público.</w:t>
      </w:r>
    </w:p>
    <w:p w:rsidR="0086067E" w:rsidRDefault="0086067E" w:rsidP="0086067E">
      <w:pPr>
        <w:pStyle w:val="Standard"/>
        <w:tabs>
          <w:tab w:val="left" w:pos="0"/>
        </w:tabs>
        <w:spacing w:line="360" w:lineRule="auto"/>
        <w:jc w:val="both"/>
      </w:pPr>
      <w:r>
        <w:rPr>
          <w:b/>
          <w:bCs/>
        </w:rPr>
        <w:t>22) Artículo 5 del Decreto Nº 44/05</w:t>
      </w:r>
      <w:r>
        <w:t xml:space="preserve"> </w:t>
      </w:r>
      <w:r>
        <w:rPr>
          <w:b/>
          <w:bCs/>
        </w:rPr>
        <w:t xml:space="preserve">(Caducidad de Convenios por incumplimiento en los pagos), Artículo 1 del Decreto Nº 8/10 y Resolución Nº 11/00190 del 13/01/11. </w:t>
      </w:r>
      <w:r>
        <w:t>La Intendencia no cumple con los términos de caducidad dispuestos en  dicha reglamentación. La anulación de los Convenios por incumplimiento no se efectiviza en forma regular ni sistemática. No se realiza un seguimiento permanente de los convenios vigentes y del cumplimiento de las causales de caducidad de los mismos.</w:t>
      </w:r>
    </w:p>
    <w:p w:rsidR="0086067E" w:rsidRDefault="0086067E" w:rsidP="0086067E">
      <w:pPr>
        <w:pStyle w:val="Standard"/>
        <w:tabs>
          <w:tab w:val="left" w:pos="0"/>
          <w:tab w:val="left" w:pos="720"/>
        </w:tabs>
        <w:spacing w:line="360" w:lineRule="auto"/>
        <w:jc w:val="both"/>
      </w:pPr>
      <w:r>
        <w:t>Asimismo, durante el Ejercicio se observaron gastos por parte de los Contadores Delegados, los que fueron reiterados por el Ordenador, ratificadas las observaciones y puestas en conocimiento de la Junta Departamental, por los siguientes motivos: Artículos 15, 20, 21, 33, 43, 52, 74, 157 del TOCAF y Artículo 32 de la Ley 11923.</w:t>
      </w:r>
    </w:p>
    <w:p w:rsidR="0086067E" w:rsidRDefault="0086067E" w:rsidP="0086067E">
      <w:pPr>
        <w:pStyle w:val="Standard"/>
        <w:jc w:val="right"/>
      </w:pPr>
      <w:r>
        <w:t>Montevideo, 28 de octubre de 2013</w:t>
      </w:r>
    </w:p>
    <w:p w:rsidR="0086067E" w:rsidRDefault="0086067E" w:rsidP="0086067E">
      <w:pPr>
        <w:pStyle w:val="Standard"/>
        <w:spacing w:after="240"/>
        <w:jc w:val="center"/>
        <w:rPr>
          <w:b/>
          <w:bCs/>
          <w:caps/>
        </w:rPr>
      </w:pPr>
    </w:p>
    <w:p w:rsidR="0086067E" w:rsidRDefault="0086067E"/>
    <w:p w:rsidR="0086067E" w:rsidRDefault="0086067E"/>
    <w:p w:rsidR="0086067E" w:rsidRDefault="0086067E" w:rsidP="0086067E">
      <w:pPr>
        <w:pStyle w:val="Ttulo1"/>
        <w:pageBreakBefore/>
        <w:widowControl w:val="0"/>
        <w:numPr>
          <w:ilvl w:val="0"/>
          <w:numId w:val="2"/>
        </w:numPr>
        <w:suppressAutoHyphens/>
        <w:spacing w:before="240" w:after="60"/>
        <w:textAlignment w:val="baseline"/>
      </w:pPr>
      <w:r>
        <w:lastRenderedPageBreak/>
        <w:t>INFORME A LA ADMINISTRACIÓN</w:t>
      </w:r>
    </w:p>
    <w:p w:rsidR="0086067E" w:rsidRDefault="0086067E" w:rsidP="0086067E"/>
    <w:p w:rsidR="00A47C05" w:rsidRPr="0086067E" w:rsidRDefault="00A47C05" w:rsidP="0086067E"/>
    <w:p w:rsidR="0086067E" w:rsidRDefault="0086067E" w:rsidP="0086067E">
      <w:pPr>
        <w:pStyle w:val="Standard"/>
        <w:spacing w:line="360" w:lineRule="auto"/>
        <w:jc w:val="both"/>
      </w:pPr>
      <w:r>
        <w:t>El Tribunal de Cuentas ha examinado la Rendición de Cuentas y Balance de Ejecución Presupuestal, correspondiente al Ejercicio 2012 y ha emitido su correspondiente Dictamen.</w:t>
      </w:r>
    </w:p>
    <w:p w:rsidR="0086067E" w:rsidRDefault="0086067E" w:rsidP="0086067E">
      <w:pPr>
        <w:pStyle w:val="Standard"/>
        <w:spacing w:line="360" w:lineRule="auto"/>
        <w:jc w:val="both"/>
      </w:pPr>
      <w: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86067E" w:rsidRPr="003C2342" w:rsidRDefault="0086067E" w:rsidP="0086067E">
      <w:pPr>
        <w:pStyle w:val="Ttulo2"/>
        <w:widowControl w:val="0"/>
        <w:numPr>
          <w:ilvl w:val="1"/>
          <w:numId w:val="2"/>
        </w:numPr>
        <w:suppressAutoHyphens/>
        <w:spacing w:before="240" w:after="60" w:line="240" w:lineRule="auto"/>
        <w:textAlignment w:val="baseline"/>
        <w:rPr>
          <w:i/>
        </w:rPr>
      </w:pPr>
      <w:bookmarkStart w:id="2" w:name="_Toc370823306"/>
      <w:r w:rsidRPr="003C2342">
        <w:t>3.1 Constataciones que no afectan la opinión a los estados contables</w:t>
      </w:r>
      <w:bookmarkEnd w:id="2"/>
    </w:p>
    <w:p w:rsidR="0086067E" w:rsidRPr="003C2342" w:rsidRDefault="0086067E" w:rsidP="0086067E">
      <w:pPr>
        <w:pStyle w:val="Ttulo3"/>
        <w:numPr>
          <w:ilvl w:val="2"/>
          <w:numId w:val="2"/>
        </w:numPr>
        <w:rPr>
          <w:sz w:val="24"/>
        </w:rPr>
      </w:pPr>
      <w:bookmarkStart w:id="3" w:name="_Toc370823307"/>
      <w:r w:rsidRPr="003C2342">
        <w:rPr>
          <w:sz w:val="24"/>
        </w:rPr>
        <w:t>3.1.1 Gastos no imputados</w:t>
      </w:r>
      <w:bookmarkEnd w:id="3"/>
    </w:p>
    <w:p w:rsidR="0086067E" w:rsidRDefault="0086067E" w:rsidP="0086067E">
      <w:pPr>
        <w:pStyle w:val="Standard"/>
        <w:spacing w:line="360" w:lineRule="auto"/>
        <w:jc w:val="both"/>
      </w:pPr>
      <w:r>
        <w:t xml:space="preserve">Existen facturas por servicios contratados y devengados, cuyo importe asciende a $ </w:t>
      </w:r>
      <w:r>
        <w:rPr>
          <w:rFonts w:eastAsia="Arial Unicode MS"/>
        </w:rPr>
        <w:t>47:323.935,</w:t>
      </w:r>
      <w:r>
        <w:t xml:space="preserve"> que si bien forman parte del Estado de Resultado, no se imputaron a los objetos correspondientes. </w:t>
      </w:r>
    </w:p>
    <w:p w:rsidR="0086067E" w:rsidRDefault="0086067E" w:rsidP="0086067E">
      <w:pPr>
        <w:pStyle w:val="Standard"/>
        <w:spacing w:line="360" w:lineRule="auto"/>
        <w:jc w:val="both"/>
      </w:pPr>
      <w:r>
        <w:t xml:space="preserve">Asimismo, se imputaron durante el ejercicio gastos de años anteriores que no fueron presentados como “gastos sin imputar” en la Rendición de Cuentas del ejercicio 2011 por un importe de $ 19:941.826. Dicho importe representa el 0,7% del total de gastos declarados en 2011. </w:t>
      </w:r>
    </w:p>
    <w:p w:rsidR="0086067E" w:rsidRDefault="0086067E" w:rsidP="0086067E">
      <w:pPr>
        <w:pStyle w:val="Ttulo3"/>
        <w:numPr>
          <w:ilvl w:val="2"/>
          <w:numId w:val="2"/>
        </w:numPr>
        <w:spacing w:line="360" w:lineRule="auto"/>
        <w:rPr>
          <w:sz w:val="24"/>
        </w:rPr>
      </w:pPr>
      <w:bookmarkStart w:id="4" w:name="_Toc370823308"/>
      <w:r>
        <w:rPr>
          <w:sz w:val="24"/>
        </w:rPr>
        <w:t>3.1.2 Obligaciones Presupuestales Impagas</w:t>
      </w:r>
      <w:bookmarkEnd w:id="4"/>
    </w:p>
    <w:p w:rsidR="0086067E" w:rsidRDefault="0086067E" w:rsidP="0086067E">
      <w:pPr>
        <w:pStyle w:val="Standard"/>
        <w:tabs>
          <w:tab w:val="left" w:pos="425"/>
        </w:tabs>
        <w:spacing w:line="360" w:lineRule="auto"/>
        <w:jc w:val="both"/>
        <w:rPr>
          <w:rFonts w:eastAsia="Arial Unicode MS"/>
        </w:rPr>
      </w:pPr>
      <w:r>
        <w:rPr>
          <w:rFonts w:eastAsia="Arial Unicode MS"/>
        </w:rPr>
        <w:t>No fue posible verificar los saldos de las obligaciones presupuestales impagas de los ejercicios 2008 y 2009, debido a que el desglose de los mismos no fue el adecuado.</w:t>
      </w:r>
      <w:bookmarkStart w:id="5" w:name="_Toc370823309"/>
    </w:p>
    <w:p w:rsidR="00A47C05" w:rsidRDefault="00A47C05" w:rsidP="0086067E">
      <w:pPr>
        <w:pStyle w:val="Standard"/>
        <w:tabs>
          <w:tab w:val="left" w:pos="425"/>
        </w:tabs>
        <w:spacing w:line="360" w:lineRule="auto"/>
        <w:jc w:val="both"/>
        <w:rPr>
          <w:rFonts w:eastAsia="Arial Unicode MS"/>
        </w:rPr>
      </w:pPr>
    </w:p>
    <w:p w:rsidR="0086067E" w:rsidRPr="00AE2878" w:rsidRDefault="0086067E" w:rsidP="0086067E">
      <w:pPr>
        <w:pStyle w:val="Standard"/>
        <w:tabs>
          <w:tab w:val="left" w:pos="425"/>
        </w:tabs>
        <w:spacing w:line="360" w:lineRule="auto"/>
        <w:jc w:val="both"/>
        <w:rPr>
          <w:b/>
        </w:rPr>
      </w:pPr>
      <w:r w:rsidRPr="001E484D">
        <w:rPr>
          <w:b/>
        </w:rPr>
        <w:lastRenderedPageBreak/>
        <w:t>3.1.3</w:t>
      </w:r>
      <w:r>
        <w:t xml:space="preserve"> </w:t>
      </w:r>
      <w:r w:rsidRPr="00AE2878">
        <w:rPr>
          <w:b/>
        </w:rPr>
        <w:t>Estado de Resultado Acumulado</w:t>
      </w:r>
      <w:bookmarkEnd w:id="5"/>
    </w:p>
    <w:p w:rsidR="0086067E" w:rsidRDefault="0086067E" w:rsidP="0086067E">
      <w:pPr>
        <w:pStyle w:val="Standard"/>
        <w:tabs>
          <w:tab w:val="left" w:pos="425"/>
        </w:tabs>
        <w:spacing w:line="360" w:lineRule="auto"/>
        <w:jc w:val="both"/>
      </w:pPr>
      <w:r>
        <w:t xml:space="preserve">El déficit acumulado al 31/12/11, que según el estado presentado asciende inicialmente a $ 2.562:252.964, fue ajustado por la Intendencia por una pérdida </w:t>
      </w:r>
      <w:proofErr w:type="gramStart"/>
      <w:r>
        <w:t>neta</w:t>
      </w:r>
      <w:proofErr w:type="gramEnd"/>
      <w:r>
        <w:t xml:space="preserve"> de $ 239:365.125, dando como resultado un déficit de $ 2.801:618.089. Este resultado no fue afectado por las partidas de las conciliaciones efectuadas con ANTEL, cuyo monto total asciende a $ 52:526.565 y representa un 1,8% del Resultado Acumulado.</w:t>
      </w:r>
      <w:bookmarkStart w:id="6" w:name="_Toc239656368"/>
      <w:r>
        <w:rPr>
          <w:color w:val="000000"/>
          <w:lang w:eastAsia="ar-SA"/>
        </w:rPr>
        <w:t xml:space="preserve"> Por lo expresado, el déficit acumulado ajustado al 31 de diciembre de 2011 es d</w:t>
      </w:r>
      <w:bookmarkEnd w:id="6"/>
      <w:r>
        <w:rPr>
          <w:color w:val="000000"/>
          <w:lang w:eastAsia="ar-SA"/>
        </w:rPr>
        <w:t>e  $ 2.854:144.654.</w:t>
      </w:r>
    </w:p>
    <w:p w:rsidR="0086067E" w:rsidRDefault="0086067E" w:rsidP="0086067E">
      <w:pPr>
        <w:pStyle w:val="Ttulo3"/>
        <w:numPr>
          <w:ilvl w:val="2"/>
          <w:numId w:val="2"/>
        </w:numPr>
        <w:spacing w:line="360" w:lineRule="auto"/>
        <w:rPr>
          <w:sz w:val="24"/>
        </w:rPr>
      </w:pPr>
      <w:bookmarkStart w:id="7" w:name="_Toc370823310"/>
      <w:r>
        <w:rPr>
          <w:sz w:val="24"/>
        </w:rPr>
        <w:t>3.1.4 Exposición del Estado de Ejecución con Relación a los Recursos</w:t>
      </w:r>
      <w:bookmarkEnd w:id="7"/>
    </w:p>
    <w:p w:rsidR="0086067E" w:rsidRDefault="0086067E" w:rsidP="0086067E">
      <w:pPr>
        <w:pStyle w:val="Standard"/>
        <w:tabs>
          <w:tab w:val="left" w:pos="425"/>
        </w:tabs>
        <w:spacing w:line="360" w:lineRule="auto"/>
        <w:jc w:val="both"/>
        <w:rPr>
          <w:rFonts w:eastAsia="Arial Unicode MS"/>
        </w:rPr>
      </w:pPr>
      <w:r>
        <w:rPr>
          <w:rFonts w:eastAsia="Arial Unicode MS"/>
        </w:rPr>
        <w:t xml:space="preserve">Las partidas de ingresos pendientes e ingresos no percibidos por $ 13:186.086 y $15:401.342 respectivamente, si bien se presentan ajustando los estados de resultado y de ejecución con relación a los recursos, debieron presentarse integrando el monto del recurso correspondiente en este último estado. </w:t>
      </w:r>
    </w:p>
    <w:p w:rsidR="0086067E" w:rsidRDefault="0086067E" w:rsidP="0086067E">
      <w:pPr>
        <w:pStyle w:val="Ttulo3"/>
        <w:numPr>
          <w:ilvl w:val="2"/>
          <w:numId w:val="2"/>
        </w:numPr>
        <w:tabs>
          <w:tab w:val="left" w:pos="0"/>
        </w:tabs>
        <w:spacing w:line="360" w:lineRule="auto"/>
        <w:rPr>
          <w:sz w:val="24"/>
        </w:rPr>
      </w:pPr>
      <w:bookmarkStart w:id="8" w:name="_Toc370823311"/>
      <w:r>
        <w:rPr>
          <w:sz w:val="24"/>
        </w:rPr>
        <w:t>3.1.5 Estados de resultado del ejercicio y de ejecución con relación a los recursos</w:t>
      </w:r>
      <w:bookmarkEnd w:id="8"/>
    </w:p>
    <w:p w:rsidR="0086067E" w:rsidRDefault="0086067E" w:rsidP="0086067E">
      <w:pPr>
        <w:pStyle w:val="Standard"/>
        <w:spacing w:line="360" w:lineRule="auto"/>
        <w:jc w:val="both"/>
      </w:pPr>
      <w:r>
        <w:rPr>
          <w:rFonts w:eastAsia="Arial Unicode MS"/>
        </w:rPr>
        <w:t>El monto total recaudado en el ejercicio 2012, asciende a $ 2.043:790.936 según el sistema de recaudación y a $ 2.162:953.718 según el sistema</w:t>
      </w:r>
      <w:r>
        <w:rPr>
          <w:rFonts w:eastAsia="Arial Unicode MS"/>
          <w:shd w:val="clear" w:color="auto" w:fill="FFFF00"/>
        </w:rPr>
        <w:t xml:space="preserve"> </w:t>
      </w:r>
      <w:r>
        <w:rPr>
          <w:rFonts w:eastAsia="Arial Unicode MS"/>
        </w:rPr>
        <w:t>contable, siendo la diferencia de $ 119:162.783. La misma corresponde a cobranzas que ingresan directamente a la contabilidad por recaudación de morosos ($ 90:358.644), tasa de alumbrado ($ 15:264.812) y recaudación del hipódromo ($ 12:843.697) dando como diferencia $ 695.630 que permanece sin identificar.</w:t>
      </w:r>
      <w:r>
        <w:t xml:space="preserve"> </w:t>
      </w:r>
    </w:p>
    <w:p w:rsidR="0086067E" w:rsidRDefault="0086067E" w:rsidP="0086067E">
      <w:pPr>
        <w:pStyle w:val="Ttulo3"/>
        <w:numPr>
          <w:ilvl w:val="2"/>
          <w:numId w:val="2"/>
        </w:numPr>
        <w:tabs>
          <w:tab w:val="left" w:pos="0"/>
        </w:tabs>
        <w:spacing w:line="360" w:lineRule="auto"/>
      </w:pPr>
      <w:bookmarkStart w:id="9" w:name="_Toc370823312"/>
      <w:r>
        <w:t>3.1.6 Exposición del Estado de ejecución presupuestal con relación a los créditos</w:t>
      </w:r>
      <w:bookmarkEnd w:id="9"/>
    </w:p>
    <w:p w:rsidR="0086067E" w:rsidRDefault="0086067E" w:rsidP="0086067E">
      <w:pPr>
        <w:pStyle w:val="Standard"/>
        <w:tabs>
          <w:tab w:val="left" w:pos="425"/>
        </w:tabs>
        <w:spacing w:line="360" w:lineRule="auto"/>
        <w:jc w:val="both"/>
        <w:rPr>
          <w:rFonts w:eastAsia="Arial Unicode MS"/>
        </w:rPr>
      </w:pPr>
      <w:r>
        <w:t xml:space="preserve">En el Estado de Movimiento de Fondos y Valores se incluye como egreso el concepto “Otros Presupuestales”  por $ 151:646,290, integrado por “anticipos a </w:t>
      </w:r>
      <w:r w:rsidRPr="00E0625F">
        <w:rPr>
          <w:spacing w:val="-8"/>
          <w:kern w:val="24"/>
        </w:rPr>
        <w:t>proveedores” por $ 96:810.669 y “pago de ejercicios anteriores por $</w:t>
      </w:r>
      <w:r>
        <w:t xml:space="preserve"> </w:t>
      </w:r>
      <w:r>
        <w:rPr>
          <w:rFonts w:eastAsia="Arial Unicode MS"/>
        </w:rPr>
        <w:t xml:space="preserve">54:835.620. </w:t>
      </w:r>
    </w:p>
    <w:p w:rsidR="0086067E" w:rsidRDefault="0086067E" w:rsidP="0086067E">
      <w:pPr>
        <w:pStyle w:val="Standard"/>
        <w:spacing w:line="360" w:lineRule="auto"/>
        <w:jc w:val="both"/>
      </w:pPr>
      <w:r>
        <w:lastRenderedPageBreak/>
        <w:t>Los anticipos a proveedores están incluidos en la ejecución del ejercicio como impagos cuando en realidad están pagos, por lo que igualmente forman parte del Resultado del Ejercicio.</w:t>
      </w:r>
    </w:p>
    <w:p w:rsidR="0086067E" w:rsidRDefault="0086067E" w:rsidP="0086067E">
      <w:pPr>
        <w:pStyle w:val="Standard"/>
        <w:tabs>
          <w:tab w:val="left" w:pos="425"/>
        </w:tabs>
        <w:spacing w:line="360" w:lineRule="auto"/>
        <w:jc w:val="both"/>
        <w:rPr>
          <w:rFonts w:eastAsia="Arial Unicode MS"/>
        </w:rPr>
      </w:pPr>
      <w:r>
        <w:rPr>
          <w:rFonts w:eastAsia="Arial Unicode MS"/>
        </w:rPr>
        <w:t>Los “pagos de ejercicios anteriores” se exponen como ajuste al Resultado Acumulado, y no como pagos en el Estado de Obligaciones Presupuestales Impagas debido a que no fueron contabilizados en años anteriores.</w:t>
      </w:r>
    </w:p>
    <w:p w:rsidR="0086067E" w:rsidRDefault="0086067E" w:rsidP="0086067E">
      <w:pPr>
        <w:pStyle w:val="Ttulo3"/>
        <w:numPr>
          <w:ilvl w:val="2"/>
          <w:numId w:val="2"/>
        </w:numPr>
        <w:tabs>
          <w:tab w:val="left" w:pos="425"/>
        </w:tabs>
        <w:spacing w:before="0" w:after="0" w:line="360" w:lineRule="auto"/>
        <w:jc w:val="both"/>
        <w:rPr>
          <w:sz w:val="24"/>
        </w:rPr>
      </w:pPr>
      <w:bookmarkStart w:id="10" w:name="_Toc370823313"/>
      <w:r>
        <w:rPr>
          <w:sz w:val="24"/>
        </w:rPr>
        <w:t>3.1.7 Exposición del Estado de Movimiento de Fondos y Valores</w:t>
      </w:r>
      <w:bookmarkEnd w:id="10"/>
    </w:p>
    <w:p w:rsidR="0086067E" w:rsidRDefault="0086067E" w:rsidP="0086067E">
      <w:pPr>
        <w:pStyle w:val="Standard"/>
        <w:tabs>
          <w:tab w:val="left" w:pos="425"/>
        </w:tabs>
        <w:spacing w:line="360" w:lineRule="auto"/>
        <w:jc w:val="both"/>
        <w:rPr>
          <w:rFonts w:eastAsia="Arial Unicode MS"/>
        </w:rPr>
      </w:pPr>
      <w:r>
        <w:rPr>
          <w:rFonts w:eastAsia="Arial Unicode MS"/>
        </w:rPr>
        <w:t>Se contabilizó como efectivo el saldo de la Caja de Ahorro Nº 0820032684 del Municipio de San Antonio, que al 31/12/12 ascendía a $ 5.000.</w:t>
      </w:r>
    </w:p>
    <w:p w:rsidR="0086067E" w:rsidRDefault="0086067E" w:rsidP="0086067E">
      <w:pPr>
        <w:pStyle w:val="Ttulo3"/>
        <w:numPr>
          <w:ilvl w:val="2"/>
          <w:numId w:val="2"/>
        </w:numPr>
        <w:tabs>
          <w:tab w:val="left" w:pos="425"/>
        </w:tabs>
        <w:spacing w:before="0" w:after="0" w:line="360" w:lineRule="auto"/>
        <w:jc w:val="both"/>
        <w:rPr>
          <w:rFonts w:eastAsia="Arial Unicode MS"/>
          <w:sz w:val="24"/>
        </w:rPr>
      </w:pPr>
      <w:bookmarkStart w:id="11" w:name="_Toc370823314"/>
      <w:r>
        <w:rPr>
          <w:rFonts w:eastAsia="Arial Unicode MS"/>
          <w:sz w:val="24"/>
        </w:rPr>
        <w:t>3.1.8 Estado de Fondos Indisponibles</w:t>
      </w:r>
      <w:bookmarkEnd w:id="11"/>
    </w:p>
    <w:p w:rsidR="0086067E" w:rsidRDefault="0086067E" w:rsidP="0086067E">
      <w:pPr>
        <w:pStyle w:val="Subttulo"/>
        <w:rPr>
          <w:rFonts w:ascii="Arial" w:hAnsi="Arial"/>
          <w:b w:val="0"/>
        </w:rPr>
      </w:pPr>
      <w:r>
        <w:rPr>
          <w:rFonts w:ascii="Arial" w:hAnsi="Arial"/>
          <w:b w:val="0"/>
        </w:rPr>
        <w:t xml:space="preserve">La Intendencia </w:t>
      </w:r>
      <w:r>
        <w:rPr>
          <w:rFonts w:ascii="Arial" w:hAnsi="Arial" w:cs="Arial"/>
          <w:b w:val="0"/>
          <w:bCs/>
        </w:rPr>
        <w:t xml:space="preserve">mantiene fondos indisponibles sin ser vertidos a sus destinatarios </w:t>
      </w:r>
      <w:r>
        <w:rPr>
          <w:rFonts w:ascii="Arial" w:hAnsi="Arial"/>
          <w:b w:val="0"/>
        </w:rPr>
        <w:t xml:space="preserve">tales como “IRPF proveedores”, “Retenciones DGI”, etc. </w:t>
      </w:r>
    </w:p>
    <w:p w:rsidR="0086067E" w:rsidRDefault="0086067E" w:rsidP="00A47C05">
      <w:pPr>
        <w:tabs>
          <w:tab w:val="left" w:pos="426"/>
        </w:tabs>
        <w:spacing w:line="360" w:lineRule="auto"/>
        <w:jc w:val="both"/>
        <w:rPr>
          <w:rFonts w:eastAsia="Arial Unicode MS" w:cs="Arial"/>
        </w:rPr>
      </w:pPr>
      <w:r>
        <w:rPr>
          <w:rFonts w:eastAsia="Arial Unicode MS" w:cs="Arial"/>
        </w:rPr>
        <w:t xml:space="preserve">La </w:t>
      </w:r>
      <w:proofErr w:type="gramStart"/>
      <w:r>
        <w:rPr>
          <w:rFonts w:eastAsia="Arial Unicode MS" w:cs="Arial"/>
        </w:rPr>
        <w:t xml:space="preserve">columna </w:t>
      </w:r>
      <w:r>
        <w:rPr>
          <w:rFonts w:eastAsia="Arial Unicode MS"/>
        </w:rPr>
        <w:t>”</w:t>
      </w:r>
      <w:proofErr w:type="gramEnd"/>
      <w:r>
        <w:rPr>
          <w:rFonts w:eastAsia="Arial Unicode MS"/>
        </w:rPr>
        <w:t xml:space="preserve">Pagado” del estado de evolución de indisponibles incluye conceptos que no están pagados por un monto de $ 5:511.929 los que se ajustan en la columna “Ajustes Pagado”. </w:t>
      </w:r>
      <w:r>
        <w:rPr>
          <w:rFonts w:cs="Arial"/>
          <w:color w:val="000000"/>
        </w:rPr>
        <w:t>E</w:t>
      </w:r>
      <w:r>
        <w:rPr>
          <w:rFonts w:eastAsia="Arial Unicode MS" w:cs="Arial"/>
        </w:rPr>
        <w:t xml:space="preserve">n ciertos auxiliares el débito del rubro no constituye un pago, por lo cual se procedió a ajustar con la columna “ajustes pagados” para una correcta exposición del cuadro. </w:t>
      </w:r>
    </w:p>
    <w:p w:rsidR="0086067E" w:rsidRDefault="0086067E" w:rsidP="0086067E">
      <w:pPr>
        <w:pStyle w:val="Ttulo3"/>
        <w:tabs>
          <w:tab w:val="clear" w:pos="0"/>
        </w:tabs>
        <w:spacing w:before="0" w:after="0" w:line="360" w:lineRule="auto"/>
        <w:ind w:left="0" w:firstLine="0"/>
        <w:rPr>
          <w:sz w:val="24"/>
        </w:rPr>
      </w:pPr>
      <w:bookmarkStart w:id="12" w:name="_Toc370823315"/>
      <w:r>
        <w:rPr>
          <w:sz w:val="24"/>
        </w:rPr>
        <w:t>3.1.9 Juicios iniciados contra la Comuna</w:t>
      </w:r>
      <w:bookmarkEnd w:id="12"/>
    </w:p>
    <w:p w:rsidR="0086067E" w:rsidRDefault="0086067E" w:rsidP="0086067E">
      <w:pPr>
        <w:pStyle w:val="Standard"/>
        <w:spacing w:line="360" w:lineRule="auto"/>
        <w:jc w:val="both"/>
      </w:pPr>
      <w:r>
        <w:t xml:space="preserve">El documento presentado incluye a los efectos del cálculo del resultado </w:t>
      </w:r>
      <w:r w:rsidRPr="003C2342">
        <w:rPr>
          <w:spacing w:val="8"/>
          <w:kern w:val="24"/>
        </w:rPr>
        <w:t>acumulado, juicios contra la Intendencia con sentencia firme por un monto de $</w:t>
      </w:r>
      <w:r>
        <w:t xml:space="preserve"> 247:724.629, U$S 4:103.036, UR 2.552 y UI 21:873.074 más intereses y reajustes correspondientes,  no discriminándose los que están contabilizados de los que no lo están. Asimismo, los juicios que no tienen sentencia definitiva al 31/12/12 ascienden a $ 431:224.995, U$S 9:461.750 y UR 3.394. En consecuencia, se deberán tener en cuenta las posibles erogaciones a los efectos de la determinación del resultado acumulado a financiar en la próxima instancia presupuestal.</w:t>
      </w:r>
    </w:p>
    <w:p w:rsidR="0086067E" w:rsidRDefault="0086067E" w:rsidP="0086067E">
      <w:pPr>
        <w:pStyle w:val="Ttulo3"/>
        <w:numPr>
          <w:ilvl w:val="2"/>
          <w:numId w:val="2"/>
        </w:numPr>
        <w:spacing w:line="360" w:lineRule="auto"/>
        <w:rPr>
          <w:sz w:val="24"/>
        </w:rPr>
      </w:pPr>
      <w:bookmarkStart w:id="13" w:name="_Toc370823316"/>
      <w:r>
        <w:rPr>
          <w:sz w:val="24"/>
        </w:rPr>
        <w:lastRenderedPageBreak/>
        <w:t>3.1.10 Conciliaciones con Organismos Públicos</w:t>
      </w:r>
      <w:bookmarkEnd w:id="13"/>
    </w:p>
    <w:p w:rsidR="0086067E" w:rsidRDefault="0086067E" w:rsidP="0086067E">
      <w:pPr>
        <w:pStyle w:val="Standard"/>
        <w:spacing w:line="360" w:lineRule="auto"/>
        <w:jc w:val="both"/>
      </w:pPr>
      <w:r>
        <w:t>La Intendencia proporcionó la conciliación de sus saldos con  ANTEL y ANCAP   quedando pendiente de contabilización las partidas conciliatorias. No se remiten las conciliaciones de los saldos de UTE, OSE y BSE, en virtud de que dichos organismos no proporcionaron el detalle de lo adeudado por la Intendencia al 31/12/12.</w:t>
      </w:r>
    </w:p>
    <w:p w:rsidR="0086067E" w:rsidRDefault="0086067E" w:rsidP="0086067E">
      <w:pPr>
        <w:pStyle w:val="Ttulo2"/>
        <w:widowControl w:val="0"/>
        <w:numPr>
          <w:ilvl w:val="1"/>
          <w:numId w:val="2"/>
        </w:numPr>
        <w:suppressAutoHyphens/>
        <w:spacing w:before="240" w:after="60"/>
        <w:textAlignment w:val="baseline"/>
      </w:pPr>
      <w:bookmarkStart w:id="14" w:name="_Toc370823317"/>
      <w:r>
        <w:t>3.2</w:t>
      </w:r>
      <w:r>
        <w:tab/>
        <w:t>Incumplimiento de normas legales</w:t>
      </w:r>
      <w:bookmarkEnd w:id="14"/>
    </w:p>
    <w:p w:rsidR="0086067E" w:rsidRDefault="0086067E" w:rsidP="0086067E">
      <w:pPr>
        <w:pStyle w:val="Standard"/>
        <w:spacing w:line="360" w:lineRule="auto"/>
        <w:jc w:val="both"/>
      </w:pPr>
      <w:r>
        <w:t>En relación con el incumplimiento de normas, corresponde realizar las siguientes precisiones:</w:t>
      </w:r>
    </w:p>
    <w:p w:rsidR="0086067E" w:rsidRDefault="0086067E" w:rsidP="0086067E">
      <w:pPr>
        <w:pStyle w:val="Ttulo3"/>
        <w:numPr>
          <w:ilvl w:val="2"/>
          <w:numId w:val="2"/>
        </w:numPr>
        <w:spacing w:line="360" w:lineRule="auto"/>
        <w:rPr>
          <w:sz w:val="24"/>
        </w:rPr>
      </w:pPr>
      <w:bookmarkStart w:id="15" w:name="_Toc370823318"/>
      <w:r>
        <w:rPr>
          <w:sz w:val="24"/>
        </w:rPr>
        <w:t>3.2.1 Compensaciones</w:t>
      </w:r>
      <w:bookmarkEnd w:id="15"/>
    </w:p>
    <w:p w:rsidR="0086067E" w:rsidRDefault="0086067E" w:rsidP="0086067E">
      <w:pPr>
        <w:pStyle w:val="Standard"/>
        <w:spacing w:line="360" w:lineRule="auto"/>
        <w:jc w:val="both"/>
      </w:pPr>
      <w:r>
        <w:t>Durante el año 2012, a través de resoluciones dictadas por el Ejecutivo Comunal, la Intendencia abonó varias compensaciones especiales que tienen asignación presupuestal, pero no cuentan con la correspondiente reglamentación establecida en una instancia presupuestal (Artículo 86 de la Constitución de la República).</w:t>
      </w:r>
    </w:p>
    <w:p w:rsidR="0086067E" w:rsidRDefault="0086067E" w:rsidP="0086067E">
      <w:pPr>
        <w:pStyle w:val="Ttulo3"/>
        <w:numPr>
          <w:ilvl w:val="2"/>
          <w:numId w:val="2"/>
        </w:numPr>
        <w:spacing w:line="360" w:lineRule="auto"/>
        <w:rPr>
          <w:sz w:val="24"/>
        </w:rPr>
      </w:pPr>
      <w:bookmarkStart w:id="16" w:name="_Toc370823319"/>
      <w:r>
        <w:rPr>
          <w:sz w:val="24"/>
        </w:rPr>
        <w:t>3.2.2 Pagos de haberes a Alcaldes</w:t>
      </w:r>
      <w:bookmarkEnd w:id="16"/>
    </w:p>
    <w:p w:rsidR="0086067E" w:rsidRDefault="0086067E" w:rsidP="0086067E">
      <w:pPr>
        <w:pStyle w:val="Textoindependiente2"/>
      </w:pPr>
      <w:r>
        <w:t>Los Alcaldes de los Municipios de Aguas Corrientes y Cerrillos no firmaron la declaración jurada donde conste que no perciben más de una remuneración con cargo a fondos públicos, habiendo constatado que es funcionario de INAU, respectivamente. La Intendencia comunicó esta situación a dichos Organismos, a la Corte Electoral y al mencionado Alcalde y a los implicados. Los Contadores Delegados en la Intendencia observaron los pagos de la</w:t>
      </w:r>
      <w:r w:rsidR="006E527C">
        <w:t>s</w:t>
      </w:r>
      <w:r>
        <w:t xml:space="preserve"> respectivas  remuneraciones.</w:t>
      </w:r>
    </w:p>
    <w:p w:rsidR="0086067E" w:rsidRDefault="0086067E" w:rsidP="0086067E">
      <w:pPr>
        <w:pStyle w:val="Ttulo3"/>
        <w:numPr>
          <w:ilvl w:val="2"/>
          <w:numId w:val="2"/>
        </w:numPr>
        <w:spacing w:line="360" w:lineRule="auto"/>
        <w:rPr>
          <w:sz w:val="24"/>
        </w:rPr>
      </w:pPr>
      <w:bookmarkStart w:id="17" w:name="_Toc370823320"/>
      <w:r>
        <w:rPr>
          <w:sz w:val="24"/>
        </w:rPr>
        <w:t>3.2.3 Provisorios a rendir cuentas</w:t>
      </w:r>
      <w:bookmarkEnd w:id="17"/>
    </w:p>
    <w:p w:rsidR="0086067E" w:rsidRDefault="0086067E" w:rsidP="0086067E">
      <w:pPr>
        <w:pStyle w:val="Standard"/>
        <w:tabs>
          <w:tab w:val="left" w:pos="1020"/>
        </w:tabs>
        <w:spacing w:line="360" w:lineRule="auto"/>
        <w:ind w:left="-30"/>
        <w:jc w:val="both"/>
        <w:rPr>
          <w:color w:val="000000"/>
        </w:rPr>
      </w:pPr>
      <w:r>
        <w:rPr>
          <w:color w:val="000000"/>
        </w:rPr>
        <w:t xml:space="preserve">Algunos provisorios no se ajustaron a lo dispuesto por el Artículo 14 del TOCAF, debido a que se efectuaron gastos cuyos comprobantes no correspondían al </w:t>
      </w:r>
      <w:r>
        <w:rPr>
          <w:color w:val="000000"/>
        </w:rPr>
        <w:lastRenderedPageBreak/>
        <w:t>objeto y período autorizado para el mismo.</w:t>
      </w:r>
    </w:p>
    <w:p w:rsidR="0086067E" w:rsidRDefault="0086067E" w:rsidP="0086067E">
      <w:pPr>
        <w:pStyle w:val="Ttulo3"/>
        <w:numPr>
          <w:ilvl w:val="2"/>
          <w:numId w:val="2"/>
        </w:numPr>
        <w:spacing w:line="360" w:lineRule="auto"/>
        <w:rPr>
          <w:sz w:val="24"/>
        </w:rPr>
      </w:pPr>
      <w:bookmarkStart w:id="18" w:name="_Toc370823321"/>
      <w:r>
        <w:rPr>
          <w:sz w:val="24"/>
        </w:rPr>
        <w:t>3.2.4  Contratación y suministros</w:t>
      </w:r>
      <w:bookmarkEnd w:id="18"/>
    </w:p>
    <w:p w:rsidR="0086067E" w:rsidRDefault="0086067E" w:rsidP="0086067E">
      <w:pPr>
        <w:pStyle w:val="Standard"/>
        <w:tabs>
          <w:tab w:val="left" w:pos="1080"/>
        </w:tabs>
        <w:spacing w:line="360" w:lineRule="auto"/>
        <w:jc w:val="both"/>
        <w:rPr>
          <w:color w:val="000000"/>
        </w:rPr>
      </w:pPr>
      <w:r>
        <w:rPr>
          <w:color w:val="000000"/>
        </w:rPr>
        <w:t>No se realiza una planificación adecuada para satisfacer las necesidades de la Intendencia, por lo que no se da cumplimiento al Artículo 43 del TOCAF en cuanto a contratar todos los servicios o suministros por grupos de artículos y para las necesidades de todo el año. Incluso se pudo comprobar la constante compra por medio de cajas chicas y fondos permanentes de las diferentes Direcciones y Divisiones, de artículos de los que se realiza una planificación y compra anual, verificándose de esta forma, fraccionamiento del gasto sin un fundamento o exposición de motivos al respecto.</w:t>
      </w:r>
    </w:p>
    <w:p w:rsidR="0086067E" w:rsidRDefault="0086067E" w:rsidP="0086067E">
      <w:pPr>
        <w:pStyle w:val="Ttulo3"/>
        <w:numPr>
          <w:ilvl w:val="2"/>
          <w:numId w:val="2"/>
        </w:numPr>
        <w:spacing w:line="360" w:lineRule="auto"/>
        <w:rPr>
          <w:sz w:val="24"/>
        </w:rPr>
      </w:pPr>
      <w:bookmarkStart w:id="19" w:name="_Toc370823322"/>
      <w:r>
        <w:rPr>
          <w:sz w:val="24"/>
        </w:rPr>
        <w:t>3.2.5 Inventario de bienes de uso</w:t>
      </w:r>
      <w:bookmarkEnd w:id="19"/>
    </w:p>
    <w:p w:rsidR="0086067E" w:rsidRDefault="0086067E" w:rsidP="0086067E">
      <w:pPr>
        <w:pStyle w:val="Standard"/>
        <w:tabs>
          <w:tab w:val="left" w:pos="1428"/>
        </w:tabs>
        <w:spacing w:line="360" w:lineRule="auto"/>
        <w:jc w:val="both"/>
      </w:pPr>
      <w:r>
        <w:t>De acuerdo a la información proporcionada por la Intendencia, los equipos de computación y software están valuados, los inmuebles no están valuados en su totalidad, mientras que los bienes muebles y vehículos no están valuados.</w:t>
      </w:r>
    </w:p>
    <w:p w:rsidR="0086067E" w:rsidRDefault="0086067E" w:rsidP="0086067E">
      <w:pPr>
        <w:pStyle w:val="Ttulo3"/>
        <w:numPr>
          <w:ilvl w:val="2"/>
          <w:numId w:val="2"/>
        </w:numPr>
        <w:spacing w:line="360" w:lineRule="auto"/>
        <w:rPr>
          <w:sz w:val="24"/>
        </w:rPr>
      </w:pPr>
      <w:bookmarkStart w:id="20" w:name="_Toc370823323"/>
      <w:r>
        <w:rPr>
          <w:sz w:val="24"/>
        </w:rPr>
        <w:t>3.2.6 Arqueos de caja</w:t>
      </w:r>
      <w:bookmarkEnd w:id="20"/>
    </w:p>
    <w:p w:rsidR="0086067E" w:rsidRDefault="0086067E" w:rsidP="0086067E">
      <w:pPr>
        <w:pStyle w:val="Standard"/>
        <w:tabs>
          <w:tab w:val="left" w:pos="709"/>
        </w:tabs>
        <w:spacing w:line="360" w:lineRule="auto"/>
        <w:jc w:val="both"/>
      </w:pPr>
      <w:r>
        <w:t xml:space="preserve">En lo que respecta a la realización de arqueos sorpresivos en la Tesorería de la Intendencia durante el ejercicio 2012 Contaduría efectuó un arqueo y  Auditoria Interna dos, lo que  no </w:t>
      </w:r>
      <w:proofErr w:type="gramStart"/>
      <w:r>
        <w:t>permiten</w:t>
      </w:r>
      <w:proofErr w:type="gramEnd"/>
      <w:r>
        <w:t xml:space="preserve"> un efectivo control del manejo de fondos. </w:t>
      </w:r>
    </w:p>
    <w:p w:rsidR="0086067E" w:rsidRDefault="0086067E" w:rsidP="0086067E">
      <w:pPr>
        <w:pStyle w:val="Ttulo3"/>
        <w:numPr>
          <w:ilvl w:val="2"/>
          <w:numId w:val="2"/>
        </w:numPr>
        <w:spacing w:line="360" w:lineRule="auto"/>
        <w:rPr>
          <w:sz w:val="24"/>
        </w:rPr>
      </w:pPr>
      <w:bookmarkStart w:id="21" w:name="_Toc370823324"/>
      <w:r>
        <w:rPr>
          <w:sz w:val="24"/>
        </w:rPr>
        <w:t>3.2.7 Fondo Nacional de Vivienda</w:t>
      </w:r>
      <w:bookmarkEnd w:id="21"/>
    </w:p>
    <w:p w:rsidR="0086067E" w:rsidRDefault="0086067E" w:rsidP="0086067E">
      <w:pPr>
        <w:pStyle w:val="Standard"/>
        <w:tabs>
          <w:tab w:val="left" w:pos="709"/>
        </w:tabs>
        <w:spacing w:line="360" w:lineRule="auto"/>
        <w:jc w:val="both"/>
      </w:pPr>
      <w:r>
        <w:t>La Intendencia no ha cumplido en el período 2007-2012, con lo dispuesto por el Artículo 81 Literal A) de la Ley N° 16.237, al no abonar los aportes al Fondo Nacional de Vivienda, por un importe de $ 36:388.730 más las multas y recargos  por el no pago en fecha de los mismos.</w:t>
      </w:r>
    </w:p>
    <w:p w:rsidR="0086067E" w:rsidRDefault="0086067E" w:rsidP="0086067E">
      <w:pPr>
        <w:pStyle w:val="Ttulo3"/>
        <w:numPr>
          <w:ilvl w:val="2"/>
          <w:numId w:val="2"/>
        </w:numPr>
        <w:spacing w:line="360" w:lineRule="auto"/>
        <w:rPr>
          <w:sz w:val="24"/>
        </w:rPr>
      </w:pPr>
      <w:bookmarkStart w:id="22" w:name="_Toc370823325"/>
      <w:r>
        <w:rPr>
          <w:sz w:val="24"/>
        </w:rPr>
        <w:t>3.2.8 Horas extras</w:t>
      </w:r>
      <w:bookmarkEnd w:id="22"/>
    </w:p>
    <w:p w:rsidR="0086067E" w:rsidRDefault="0086067E" w:rsidP="0086067E">
      <w:pPr>
        <w:pStyle w:val="Standard"/>
        <w:spacing w:line="360" w:lineRule="auto"/>
        <w:jc w:val="both"/>
        <w:rPr>
          <w:color w:val="000000"/>
        </w:rPr>
      </w:pPr>
      <w:r>
        <w:rPr>
          <w:color w:val="000000"/>
        </w:rPr>
        <w:t xml:space="preserve">Se efectuaron autorizaciones de horas extras por encima del tope establecido </w:t>
      </w:r>
      <w:r>
        <w:rPr>
          <w:color w:val="000000"/>
        </w:rPr>
        <w:lastRenderedPageBreak/>
        <w:t>por el Convenio Nº 30 de la Organización Internacional del Trabajo.</w:t>
      </w:r>
    </w:p>
    <w:p w:rsidR="0086067E" w:rsidRDefault="0086067E" w:rsidP="0086067E">
      <w:pPr>
        <w:pStyle w:val="Ttulo3"/>
        <w:numPr>
          <w:ilvl w:val="2"/>
          <w:numId w:val="2"/>
        </w:numPr>
        <w:spacing w:line="360" w:lineRule="auto"/>
        <w:rPr>
          <w:sz w:val="24"/>
        </w:rPr>
      </w:pPr>
      <w:bookmarkStart w:id="23" w:name="_Toc370823326"/>
      <w:r>
        <w:rPr>
          <w:sz w:val="24"/>
        </w:rPr>
        <w:t>3.2.9 Funcionarios a los que no les corresponde el cobro de horas  extras.</w:t>
      </w:r>
      <w:bookmarkEnd w:id="23"/>
    </w:p>
    <w:p w:rsidR="0086067E" w:rsidRDefault="0086067E" w:rsidP="0086067E">
      <w:pPr>
        <w:pStyle w:val="Standard"/>
        <w:tabs>
          <w:tab w:val="left" w:pos="1080"/>
        </w:tabs>
        <w:spacing w:line="360" w:lineRule="auto"/>
        <w:jc w:val="both"/>
      </w:pPr>
      <w:r>
        <w:t xml:space="preserve">Algunos funcionarios que perciben remuneraciones equivalentes o superiores a los grados </w:t>
      </w:r>
      <w:proofErr w:type="spellStart"/>
      <w:r>
        <w:t>Ae</w:t>
      </w:r>
      <w:proofErr w:type="spellEnd"/>
      <w:r>
        <w:t xml:space="preserve">, </w:t>
      </w:r>
      <w:proofErr w:type="spellStart"/>
      <w:r>
        <w:t>Cb</w:t>
      </w:r>
      <w:proofErr w:type="spellEnd"/>
      <w:r>
        <w:t xml:space="preserve">, Eb, Pc, </w:t>
      </w:r>
      <w:proofErr w:type="spellStart"/>
      <w:r>
        <w:t>Gc</w:t>
      </w:r>
      <w:proofErr w:type="spellEnd"/>
      <w:r>
        <w:t xml:space="preserve"> y </w:t>
      </w:r>
      <w:proofErr w:type="spellStart"/>
      <w:r>
        <w:t>Lc</w:t>
      </w:r>
      <w:proofErr w:type="spellEnd"/>
      <w:r>
        <w:t>, reciben además partidas especiales por concepto de horas extras, apartándose de lo dispuesto en las Resolución Municipal Nº 781/12 del 16/02/12, la cual establece que los mismos no podrán percibir compensaciones por dicho concepto. Estas partidas no fueron observadas por los Contadores Delegados</w:t>
      </w:r>
    </w:p>
    <w:p w:rsidR="0086067E" w:rsidRDefault="0086067E" w:rsidP="0086067E">
      <w:pPr>
        <w:pStyle w:val="Ttulo2"/>
        <w:widowControl w:val="0"/>
        <w:numPr>
          <w:ilvl w:val="1"/>
          <w:numId w:val="2"/>
        </w:numPr>
        <w:suppressAutoHyphens/>
        <w:spacing w:before="240" w:after="60" w:line="240" w:lineRule="auto"/>
        <w:textAlignment w:val="baseline"/>
      </w:pPr>
      <w:bookmarkStart w:id="24" w:name="_Toc370823327"/>
      <w:r>
        <w:t>3.3  Debilidades de Control Interno</w:t>
      </w:r>
      <w:bookmarkEnd w:id="24"/>
    </w:p>
    <w:p w:rsidR="0086067E" w:rsidRDefault="0086067E" w:rsidP="0086067E">
      <w:pPr>
        <w:pStyle w:val="Ttulo3"/>
        <w:tabs>
          <w:tab w:val="clear" w:pos="0"/>
        </w:tabs>
        <w:spacing w:line="360" w:lineRule="auto"/>
        <w:ind w:left="0" w:firstLine="0"/>
        <w:rPr>
          <w:sz w:val="24"/>
        </w:rPr>
      </w:pPr>
      <w:bookmarkStart w:id="25" w:name="_Toc370823328"/>
      <w:r>
        <w:rPr>
          <w:sz w:val="24"/>
        </w:rPr>
        <w:t>3.3.1 Respecto a recursos o manejo de fondos</w:t>
      </w:r>
      <w:bookmarkEnd w:id="25"/>
    </w:p>
    <w:p w:rsidR="0086067E" w:rsidRDefault="0086067E" w:rsidP="0086067E">
      <w:pPr>
        <w:pStyle w:val="Standard"/>
        <w:numPr>
          <w:ilvl w:val="0"/>
          <w:numId w:val="3"/>
        </w:numPr>
        <w:tabs>
          <w:tab w:val="left" w:pos="284"/>
        </w:tabs>
        <w:spacing w:line="360" w:lineRule="auto"/>
        <w:jc w:val="both"/>
      </w:pPr>
      <w:r>
        <w:t xml:space="preserve">En algunos Municipios se constató una inadecuada separación de funciones, dado que la Secretaria Administrativa cumplía funciones de Tesorera y de encargada de Contabilidad, no habiendo oposición de intereses. </w:t>
      </w:r>
    </w:p>
    <w:p w:rsidR="0086067E" w:rsidRDefault="0086067E" w:rsidP="0086067E">
      <w:pPr>
        <w:pStyle w:val="Standard"/>
        <w:numPr>
          <w:ilvl w:val="0"/>
          <w:numId w:val="3"/>
        </w:numPr>
        <w:tabs>
          <w:tab w:val="left" w:pos="0"/>
          <w:tab w:val="left" w:pos="284"/>
        </w:tabs>
        <w:spacing w:line="360" w:lineRule="auto"/>
        <w:jc w:val="both"/>
      </w:pPr>
      <w:r>
        <w:t>En los Municipios no se realiza el control de la existencia de guías con la información suministrada en el sistema de geo tributos según el listado denominado “consulta de guías disponibles”.</w:t>
      </w:r>
    </w:p>
    <w:p w:rsidR="0086067E" w:rsidRDefault="0086067E" w:rsidP="0086067E">
      <w:pPr>
        <w:pStyle w:val="Ttulo3"/>
        <w:numPr>
          <w:ilvl w:val="2"/>
          <w:numId w:val="2"/>
        </w:numPr>
        <w:spacing w:line="360" w:lineRule="auto"/>
        <w:rPr>
          <w:sz w:val="24"/>
        </w:rPr>
      </w:pPr>
      <w:bookmarkStart w:id="26" w:name="_Toc370823329"/>
      <w:r>
        <w:rPr>
          <w:sz w:val="24"/>
        </w:rPr>
        <w:t>3.3.2  Respecto al sistema de compras</w:t>
      </w:r>
      <w:bookmarkEnd w:id="26"/>
    </w:p>
    <w:p w:rsidR="0086067E" w:rsidRDefault="0086067E" w:rsidP="0086067E">
      <w:pPr>
        <w:pStyle w:val="Standard"/>
        <w:spacing w:line="360" w:lineRule="auto"/>
        <w:rPr>
          <w:b/>
          <w:bCs/>
        </w:rPr>
      </w:pPr>
      <w:r>
        <w:rPr>
          <w:b/>
          <w:bCs/>
        </w:rPr>
        <w:t>Manual de procedimientos</w:t>
      </w:r>
    </w:p>
    <w:p w:rsidR="0086067E" w:rsidRDefault="0086067E" w:rsidP="0086067E">
      <w:pPr>
        <w:pStyle w:val="Standard"/>
        <w:numPr>
          <w:ilvl w:val="0"/>
          <w:numId w:val="3"/>
        </w:numPr>
        <w:tabs>
          <w:tab w:val="left" w:pos="284"/>
          <w:tab w:val="left" w:pos="1477"/>
        </w:tabs>
        <w:spacing w:line="360" w:lineRule="auto"/>
        <w:jc w:val="both"/>
      </w:pPr>
      <w:r>
        <w:t>El procedimiento de compras elaborado por la Intendencia de Canelones no fue comunicado y explicitado de forma que todos los funcionarios involucrados en los diferentes procedimientos estén en conocimiento del mismo. Si bien se puso en funcionamiento un nuevo sistema de compras para centralizar la solicitud de las mismas y unificar el procedimiento respectivo, se pudo constatar que no todas las compras hacen uso del referido sistema.</w:t>
      </w:r>
    </w:p>
    <w:p w:rsidR="0086067E" w:rsidRDefault="0086067E" w:rsidP="0086067E">
      <w:pPr>
        <w:pStyle w:val="Standard"/>
        <w:numPr>
          <w:ilvl w:val="0"/>
          <w:numId w:val="3"/>
        </w:numPr>
        <w:tabs>
          <w:tab w:val="left" w:pos="284"/>
          <w:tab w:val="left" w:pos="1477"/>
        </w:tabs>
        <w:spacing w:line="360" w:lineRule="auto"/>
        <w:ind w:left="142" w:hanging="142"/>
        <w:jc w:val="both"/>
      </w:pPr>
      <w:r>
        <w:t xml:space="preserve">En general, el procedimiento completo de compras registra tardanzas, lo que provoca que no todas las adquisiciones fueran incluidas como gastos del </w:t>
      </w:r>
      <w:r>
        <w:lastRenderedPageBreak/>
        <w:t>ejercicio en la Rendición de Cuentas.</w:t>
      </w:r>
    </w:p>
    <w:p w:rsidR="0086067E" w:rsidRDefault="0086067E" w:rsidP="0086067E">
      <w:pPr>
        <w:pStyle w:val="Ttulo3"/>
        <w:numPr>
          <w:ilvl w:val="2"/>
          <w:numId w:val="2"/>
        </w:numPr>
        <w:spacing w:line="360" w:lineRule="auto"/>
        <w:rPr>
          <w:sz w:val="24"/>
        </w:rPr>
      </w:pPr>
      <w:bookmarkStart w:id="27" w:name="_Toc370823330"/>
      <w:r>
        <w:rPr>
          <w:sz w:val="24"/>
        </w:rPr>
        <w:t>3.3.3 Respecto al Área de Tecnología de la Información (ATI)</w:t>
      </w:r>
      <w:bookmarkEnd w:id="27"/>
    </w:p>
    <w:p w:rsidR="0086067E" w:rsidRDefault="0086067E" w:rsidP="0086067E">
      <w:pPr>
        <w:pStyle w:val="Standard"/>
        <w:numPr>
          <w:ilvl w:val="0"/>
          <w:numId w:val="3"/>
        </w:numPr>
        <w:tabs>
          <w:tab w:val="left" w:pos="284"/>
          <w:tab w:val="left" w:pos="1477"/>
        </w:tabs>
        <w:spacing w:line="360" w:lineRule="auto"/>
        <w:jc w:val="both"/>
      </w:pPr>
      <w:r>
        <w:t>Controles de acceso: No se encuentra configurada la política de contraseñas, como la expiración, la complejidad y el historial para todos los usuarios, sin perjuicio de configurarse el largo mínimo de contraseña en 8 para el acceso a la Red.</w:t>
      </w:r>
    </w:p>
    <w:p w:rsidR="0086067E" w:rsidRDefault="0086067E" w:rsidP="0086067E">
      <w:pPr>
        <w:pStyle w:val="Standard"/>
        <w:numPr>
          <w:ilvl w:val="0"/>
          <w:numId w:val="3"/>
        </w:numPr>
        <w:tabs>
          <w:tab w:val="left" w:pos="284"/>
          <w:tab w:val="left" w:pos="1477"/>
        </w:tabs>
        <w:spacing w:line="360" w:lineRule="auto"/>
        <w:jc w:val="both"/>
      </w:pPr>
      <w:r>
        <w:t>Controles de desarrollo, mantenimiento y cambio de aplicaciones</w:t>
      </w:r>
      <w:proofErr w:type="gramStart"/>
      <w:r>
        <w:t>:  Algunos</w:t>
      </w:r>
      <w:proofErr w:type="gramEnd"/>
      <w:r>
        <w:t xml:space="preserve"> errores son consultados en el aplicativo de solicitudes “Mantis” y pese a haberse solucionado, no se ve la solución en el mismo, ya que no queda constancia por escrito.</w:t>
      </w:r>
      <w:r>
        <w:rPr>
          <w:rFonts w:eastAsia="Times New Roman"/>
          <w:color w:val="000000"/>
          <w:lang w:eastAsia="es-UY"/>
        </w:rPr>
        <w:t xml:space="preserve"> L</w:t>
      </w:r>
      <w:r>
        <w:rPr>
          <w:rFonts w:eastAsia="Times New Roman"/>
          <w:lang w:eastAsia="es-UY"/>
        </w:rPr>
        <w:t>a herramienta Mantis posee la funcionalidad de ingresar el detalle de todo el proceso, sin perjuicio de lo cual se han constatado casos en los que se repiten problemas (que son solucionados), pero no se aclara cual fue el motivo de su generación o la resolución del mismo en Mantis. Algunos incidentes han sido cerrados sin hacer comentarios. Esto es un problema de quien resuelve o cierra el incidente, que dificulta conocer a futuro como evitar el mismo problema</w:t>
      </w:r>
      <w:r>
        <w:t>.</w:t>
      </w:r>
    </w:p>
    <w:p w:rsidR="0086067E" w:rsidRDefault="0086067E" w:rsidP="0086067E">
      <w:pPr>
        <w:pStyle w:val="Standard"/>
        <w:numPr>
          <w:ilvl w:val="0"/>
          <w:numId w:val="3"/>
        </w:numPr>
        <w:tabs>
          <w:tab w:val="left" w:pos="284"/>
          <w:tab w:val="left" w:pos="1477"/>
        </w:tabs>
        <w:spacing w:line="360" w:lineRule="auto"/>
        <w:jc w:val="both"/>
      </w:pPr>
      <w:r>
        <w:t xml:space="preserve">Continuidad del servicio: Se realiza el respaldo en cinta de la base de datos del sistema contable GCI cada seis meses, el cual permanece dentro del edificio. Los respaldos diarios que se mantienen en el disco del servidor de respaldo, están ubicados en el subsuelo de la Intendencia. </w:t>
      </w:r>
    </w:p>
    <w:p w:rsidR="0086067E" w:rsidRDefault="0086067E" w:rsidP="0086067E">
      <w:pPr>
        <w:pStyle w:val="Standard"/>
        <w:tabs>
          <w:tab w:val="left" w:pos="567"/>
          <w:tab w:val="left" w:pos="1477"/>
        </w:tabs>
        <w:spacing w:line="360" w:lineRule="auto"/>
        <w:jc w:val="both"/>
      </w:pPr>
      <w:r>
        <w:t xml:space="preserve">Se están evaluando distintas opciones de respaldo una de las que podría ser a través del servicio que brinda </w:t>
      </w:r>
      <w:proofErr w:type="spellStart"/>
      <w:r>
        <w:t>Antel</w:t>
      </w:r>
      <w:proofErr w:type="spellEnd"/>
      <w:r>
        <w:t>.</w:t>
      </w:r>
    </w:p>
    <w:p w:rsidR="0086067E" w:rsidRDefault="0086067E" w:rsidP="0086067E">
      <w:pPr>
        <w:pStyle w:val="Standard"/>
        <w:tabs>
          <w:tab w:val="left" w:pos="720"/>
        </w:tabs>
        <w:spacing w:after="240"/>
        <w:ind w:left="360" w:hanging="360"/>
        <w:jc w:val="both"/>
        <w:rPr>
          <w:b/>
          <w:bCs/>
          <w:shd w:val="clear" w:color="auto" w:fill="FFFF00"/>
        </w:rPr>
      </w:pPr>
    </w:p>
    <w:p w:rsidR="0086067E" w:rsidRDefault="0086067E" w:rsidP="0086067E">
      <w:pPr>
        <w:pStyle w:val="Ttulo2"/>
        <w:widowControl w:val="0"/>
        <w:numPr>
          <w:ilvl w:val="1"/>
          <w:numId w:val="2"/>
        </w:numPr>
        <w:suppressAutoHyphens/>
        <w:spacing w:before="240" w:after="60" w:line="240" w:lineRule="auto"/>
        <w:textAlignment w:val="baseline"/>
      </w:pPr>
      <w:bookmarkStart w:id="28" w:name="_Toc370823331"/>
      <w:r>
        <w:lastRenderedPageBreak/>
        <w:t>3.4 Recomendaciones</w:t>
      </w:r>
      <w:bookmarkEnd w:id="28"/>
    </w:p>
    <w:p w:rsidR="0086067E" w:rsidRDefault="0086067E" w:rsidP="0086067E">
      <w:pPr>
        <w:pStyle w:val="Ttulo3"/>
        <w:numPr>
          <w:ilvl w:val="2"/>
          <w:numId w:val="2"/>
        </w:numPr>
        <w:spacing w:line="360" w:lineRule="auto"/>
        <w:rPr>
          <w:sz w:val="24"/>
        </w:rPr>
      </w:pPr>
      <w:bookmarkStart w:id="29" w:name="_Toc370823332"/>
      <w:r>
        <w:rPr>
          <w:sz w:val="24"/>
        </w:rPr>
        <w:t>3.4.1 Recomendaciones de ejercicios anteriores cumplidas</w:t>
      </w:r>
      <w:bookmarkEnd w:id="29"/>
    </w:p>
    <w:p w:rsidR="0086067E" w:rsidRDefault="0086067E" w:rsidP="0086067E">
      <w:pPr>
        <w:pStyle w:val="Ttulo3"/>
        <w:numPr>
          <w:ilvl w:val="2"/>
          <w:numId w:val="2"/>
        </w:numPr>
        <w:spacing w:line="360" w:lineRule="auto"/>
        <w:rPr>
          <w:sz w:val="24"/>
        </w:rPr>
      </w:pPr>
      <w:bookmarkStart w:id="30" w:name="_Toc370823333"/>
      <w:r>
        <w:rPr>
          <w:sz w:val="24"/>
        </w:rPr>
        <w:t>3.4.1.1  Registro de fondos y valores</w:t>
      </w:r>
      <w:bookmarkEnd w:id="30"/>
    </w:p>
    <w:p w:rsidR="0086067E" w:rsidRDefault="0086067E" w:rsidP="0086067E">
      <w:pPr>
        <w:pStyle w:val="Standard"/>
        <w:spacing w:line="360" w:lineRule="auto"/>
        <w:jc w:val="both"/>
      </w:pPr>
      <w:r>
        <w:t>La Intendencia implementó un registro del movimiento de fondos y valores por los cuales deba rendirse cuenta, así como de los bienes en guarda o custodia con los datos de los funcionarios responsables (Artículo 99 del TOCAF).</w:t>
      </w:r>
    </w:p>
    <w:p w:rsidR="0086067E" w:rsidRDefault="0086067E" w:rsidP="0086067E">
      <w:pPr>
        <w:pStyle w:val="Ttulo3"/>
        <w:numPr>
          <w:ilvl w:val="2"/>
          <w:numId w:val="2"/>
        </w:numPr>
        <w:spacing w:line="360" w:lineRule="auto"/>
        <w:rPr>
          <w:sz w:val="24"/>
        </w:rPr>
      </w:pPr>
      <w:bookmarkStart w:id="31" w:name="_Toc370823334"/>
      <w:r>
        <w:rPr>
          <w:sz w:val="24"/>
        </w:rPr>
        <w:t>3.4.1.2 Arqueos en Municipios</w:t>
      </w:r>
      <w:bookmarkEnd w:id="31"/>
      <w:r>
        <w:rPr>
          <w:sz w:val="24"/>
        </w:rPr>
        <w:t xml:space="preserve">  </w:t>
      </w:r>
    </w:p>
    <w:p w:rsidR="0086067E" w:rsidRDefault="0086067E" w:rsidP="0086067E">
      <w:pPr>
        <w:pStyle w:val="Standard"/>
        <w:tabs>
          <w:tab w:val="left" w:pos="0"/>
        </w:tabs>
        <w:spacing w:after="240" w:line="360" w:lineRule="auto"/>
        <w:jc w:val="both"/>
        <w:rPr>
          <w:rFonts w:eastAsia="Arial Unicode MS"/>
        </w:rPr>
      </w:pPr>
      <w:r>
        <w:rPr>
          <w:lang w:val="es-UY"/>
        </w:rPr>
        <w:t>S</w:t>
      </w:r>
      <w:proofErr w:type="spellStart"/>
      <w:r>
        <w:t>e</w:t>
      </w:r>
      <w:proofErr w:type="spellEnd"/>
      <w:r>
        <w:t xml:space="preserve"> realizaron en forma periódica arqueos sorpresivos de fondos y valores en los Municipios, </w:t>
      </w:r>
      <w:r>
        <w:rPr>
          <w:rFonts w:eastAsia="Arial Unicode MS"/>
        </w:rPr>
        <w:t xml:space="preserve">25 realizados por Contaduría y 20 por Auditoria Interna. Asimismo, los Municipios envían diariamente a la Contaduría General sus arqueos  y se realiza un monitoreo en forma </w:t>
      </w:r>
      <w:proofErr w:type="spellStart"/>
      <w:r>
        <w:rPr>
          <w:rFonts w:eastAsia="Arial Unicode MS"/>
        </w:rPr>
        <w:t>muestral</w:t>
      </w:r>
      <w:proofErr w:type="spellEnd"/>
      <w:r>
        <w:rPr>
          <w:rFonts w:eastAsia="Arial Unicode MS"/>
        </w:rPr>
        <w:t>.</w:t>
      </w:r>
    </w:p>
    <w:p w:rsidR="0086067E" w:rsidRDefault="0086067E" w:rsidP="0086067E">
      <w:pPr>
        <w:pStyle w:val="Ttulo3"/>
        <w:numPr>
          <w:ilvl w:val="2"/>
          <w:numId w:val="2"/>
        </w:numPr>
        <w:tabs>
          <w:tab w:val="left" w:pos="0"/>
        </w:tabs>
        <w:spacing w:line="360" w:lineRule="auto"/>
        <w:jc w:val="both"/>
        <w:rPr>
          <w:sz w:val="24"/>
        </w:rPr>
      </w:pPr>
      <w:bookmarkStart w:id="32" w:name="_Toc370823335"/>
      <w:r>
        <w:rPr>
          <w:sz w:val="24"/>
        </w:rPr>
        <w:t>3.4.1.3 Instructivo de este Tribunal aprobado por Resolución de 28/01/2004.</w:t>
      </w:r>
      <w:bookmarkEnd w:id="32"/>
      <w:r>
        <w:rPr>
          <w:sz w:val="24"/>
        </w:rPr>
        <w:t xml:space="preserve"> </w:t>
      </w:r>
    </w:p>
    <w:p w:rsidR="0086067E" w:rsidRDefault="0086067E" w:rsidP="0086067E">
      <w:pPr>
        <w:pStyle w:val="Standard"/>
        <w:spacing w:line="360" w:lineRule="auto"/>
        <w:jc w:val="both"/>
      </w:pPr>
      <w:r>
        <w:t xml:space="preserve">Los estados de Movimiento de Fondos y Valores y de Evolución de los Fondos </w:t>
      </w:r>
      <w:proofErr w:type="spellStart"/>
      <w:r>
        <w:t>Extrapresupuestales</w:t>
      </w:r>
      <w:proofErr w:type="spellEnd"/>
      <w:r>
        <w:t xml:space="preserve"> se ajustan a lo establecido en la mencionada norma. </w:t>
      </w:r>
    </w:p>
    <w:p w:rsidR="0086067E" w:rsidRDefault="0086067E" w:rsidP="0086067E">
      <w:pPr>
        <w:pStyle w:val="Standard"/>
        <w:spacing w:line="360" w:lineRule="auto"/>
        <w:jc w:val="both"/>
      </w:pPr>
      <w:r>
        <w:t xml:space="preserve">El estado de obligaciones presupuestales impaga presenta un importe de obligaciones generadas en el ejercicio 2012 por  $ 828:918.598 coincidiendo con el presentado en el Estado </w:t>
      </w:r>
      <w:proofErr w:type="gramStart"/>
      <w:r>
        <w:t>3.3.2 .</w:t>
      </w:r>
      <w:proofErr w:type="gramEnd"/>
    </w:p>
    <w:p w:rsidR="0086067E" w:rsidRDefault="0086067E" w:rsidP="0086067E">
      <w:pPr>
        <w:pStyle w:val="Standard"/>
        <w:tabs>
          <w:tab w:val="left" w:pos="425"/>
        </w:tabs>
        <w:spacing w:after="240" w:line="360" w:lineRule="auto"/>
        <w:jc w:val="both"/>
        <w:rPr>
          <w:rFonts w:eastAsia="Arial Unicode MS"/>
        </w:rPr>
      </w:pPr>
      <w:r>
        <w:rPr>
          <w:rFonts w:eastAsia="Arial Unicode MS"/>
        </w:rPr>
        <w:t xml:space="preserve">El saldo al 31/12/12 del estado de </w:t>
      </w:r>
      <w:proofErr w:type="spellStart"/>
      <w:r>
        <w:rPr>
          <w:rFonts w:eastAsia="Arial Unicode MS"/>
        </w:rPr>
        <w:t>Extrapresupuesto</w:t>
      </w:r>
      <w:proofErr w:type="spellEnd"/>
      <w:r>
        <w:rPr>
          <w:rFonts w:eastAsia="Arial Unicode MS"/>
        </w:rPr>
        <w:t xml:space="preserve"> coincide con el presentado en el Estado de Resultados Acumulados y el importe pagado presentado en el Estado 13 es el que se expone como pagado en el Estado de Movimiento de Fondos y Valores.</w:t>
      </w:r>
    </w:p>
    <w:p w:rsidR="0086067E" w:rsidRDefault="0086067E" w:rsidP="0086067E">
      <w:pPr>
        <w:pStyle w:val="Ttulo3"/>
        <w:numPr>
          <w:ilvl w:val="2"/>
          <w:numId w:val="2"/>
        </w:numPr>
        <w:spacing w:line="360" w:lineRule="auto"/>
        <w:rPr>
          <w:sz w:val="24"/>
        </w:rPr>
      </w:pPr>
      <w:bookmarkStart w:id="33" w:name="_Toc370823336"/>
      <w:r>
        <w:rPr>
          <w:sz w:val="24"/>
        </w:rPr>
        <w:t>3.4.1.4 Mejoras en el Control Interno</w:t>
      </w:r>
      <w:bookmarkEnd w:id="33"/>
      <w:r>
        <w:rPr>
          <w:sz w:val="24"/>
        </w:rPr>
        <w:t xml:space="preserve"> </w:t>
      </w:r>
    </w:p>
    <w:p w:rsidR="0086067E" w:rsidRDefault="0086067E" w:rsidP="0086067E">
      <w:pPr>
        <w:pStyle w:val="Standard"/>
        <w:tabs>
          <w:tab w:val="left" w:pos="794"/>
        </w:tabs>
        <w:spacing w:line="360" w:lineRule="auto"/>
        <w:jc w:val="both"/>
        <w:rPr>
          <w:rFonts w:eastAsia="Arial Unicode MS"/>
        </w:rPr>
      </w:pPr>
      <w:r>
        <w:rPr>
          <w:rFonts w:eastAsia="Arial Unicode MS"/>
        </w:rPr>
        <w:t xml:space="preserve">A partir de marzo de 2012 se implementaron manuales de caja, cursos de capacitación, planilla de control de caja y otros procedimientos a fin de mejorar el control y evitar situaciones que se daban anteriormente como cierres de caja </w:t>
      </w:r>
      <w:r>
        <w:rPr>
          <w:rFonts w:eastAsia="Arial Unicode MS"/>
        </w:rPr>
        <w:lastRenderedPageBreak/>
        <w:t>manteniendo diferencias en sus saldos, transacciones sin cerrar o con errores.</w:t>
      </w:r>
    </w:p>
    <w:p w:rsidR="0086067E" w:rsidRDefault="0086067E" w:rsidP="0086067E">
      <w:pPr>
        <w:pStyle w:val="Ttulo3"/>
        <w:numPr>
          <w:ilvl w:val="2"/>
          <w:numId w:val="2"/>
        </w:numPr>
        <w:tabs>
          <w:tab w:val="left" w:pos="794"/>
        </w:tabs>
        <w:spacing w:line="360" w:lineRule="auto"/>
        <w:jc w:val="both"/>
        <w:rPr>
          <w:rFonts w:eastAsia="Arial Unicode MS"/>
          <w:sz w:val="24"/>
        </w:rPr>
      </w:pPr>
      <w:bookmarkStart w:id="34" w:name="_Toc370823337"/>
      <w:r>
        <w:rPr>
          <w:rFonts w:eastAsia="Arial Unicode MS"/>
          <w:sz w:val="24"/>
        </w:rPr>
        <w:t>3.4.1.5 Área de tecnología de la información</w:t>
      </w:r>
      <w:bookmarkEnd w:id="34"/>
    </w:p>
    <w:p w:rsidR="0086067E" w:rsidRDefault="0086067E" w:rsidP="0086067E">
      <w:pPr>
        <w:pStyle w:val="Standard"/>
        <w:spacing w:line="360" w:lineRule="auto"/>
        <w:rPr>
          <w:b/>
          <w:bCs/>
        </w:rPr>
      </w:pPr>
      <w:r>
        <w:rPr>
          <w:b/>
          <w:bCs/>
        </w:rPr>
        <w:t>Segregación de funciones</w:t>
      </w:r>
    </w:p>
    <w:p w:rsidR="0086067E" w:rsidRDefault="0086067E" w:rsidP="0086067E">
      <w:pPr>
        <w:pStyle w:val="Standard"/>
        <w:tabs>
          <w:tab w:val="left" w:pos="340"/>
        </w:tabs>
        <w:spacing w:line="360" w:lineRule="auto"/>
        <w:ind w:left="-15" w:firstLine="15"/>
        <w:jc w:val="both"/>
        <w:rPr>
          <w:rFonts w:eastAsia="Arial Unicode MS"/>
        </w:rPr>
      </w:pPr>
      <w:r>
        <w:rPr>
          <w:rFonts w:eastAsia="Arial Unicode MS"/>
        </w:rPr>
        <w:t>Se aprobó el nuevo Manual con la descripción de funciones de Sistemas actualizado.</w:t>
      </w:r>
    </w:p>
    <w:p w:rsidR="0086067E" w:rsidRDefault="0086067E" w:rsidP="0086067E">
      <w:pPr>
        <w:pStyle w:val="Standard"/>
        <w:spacing w:line="360" w:lineRule="auto"/>
        <w:rPr>
          <w:b/>
          <w:bCs/>
        </w:rPr>
      </w:pPr>
      <w:r>
        <w:rPr>
          <w:b/>
          <w:bCs/>
        </w:rPr>
        <w:t>Controles de aplicaciones (Cumplido parcialmente)</w:t>
      </w:r>
    </w:p>
    <w:p w:rsidR="0086067E" w:rsidRDefault="0086067E" w:rsidP="0086067E">
      <w:pPr>
        <w:pStyle w:val="Standard"/>
        <w:tabs>
          <w:tab w:val="left" w:pos="340"/>
        </w:tabs>
        <w:spacing w:line="360" w:lineRule="auto"/>
        <w:ind w:left="-15" w:firstLine="15"/>
        <w:jc w:val="both"/>
      </w:pPr>
      <w:r>
        <w:t xml:space="preserve">En cuanto a la </w:t>
      </w:r>
      <w:proofErr w:type="spellStart"/>
      <w:r>
        <w:t>interfase</w:t>
      </w:r>
      <w:proofErr w:type="spellEnd"/>
      <w:r>
        <w:t xml:space="preserve"> entre </w:t>
      </w:r>
      <w:proofErr w:type="spellStart"/>
      <w:r>
        <w:t>Geotributos</w:t>
      </w:r>
      <w:proofErr w:type="spellEnd"/>
      <w:r>
        <w:t xml:space="preserve"> y GCI</w:t>
      </w:r>
      <w:r>
        <w:rPr>
          <w:rFonts w:eastAsia="Arial Unicode MS"/>
        </w:rPr>
        <w:t xml:space="preserve"> se ha mejorado la situación, aunque existen algunos errores de volcado. </w:t>
      </w:r>
      <w:r>
        <w:t>Muchos de ellos se han solucionado por las empresas que se encargan del mantenimiento de estos sistemas, sin perjuicio de lo cual no se ha podido identificar la causa de algunos de los  errores en los volcados. Por este motivo se hacen correcciones manuales en la base de datos del GCI.</w:t>
      </w:r>
    </w:p>
    <w:p w:rsidR="0086067E" w:rsidRDefault="0086067E" w:rsidP="0086067E">
      <w:pPr>
        <w:pStyle w:val="Standard"/>
        <w:spacing w:line="360" w:lineRule="auto"/>
        <w:rPr>
          <w:b/>
          <w:bCs/>
        </w:rPr>
      </w:pPr>
      <w:r>
        <w:rPr>
          <w:b/>
          <w:bCs/>
        </w:rPr>
        <w:t>Modificación de valores  relacionados con la liquidación de tributos</w:t>
      </w:r>
    </w:p>
    <w:p w:rsidR="0086067E" w:rsidRDefault="0086067E" w:rsidP="0086067E">
      <w:pPr>
        <w:pStyle w:val="Standard"/>
        <w:tabs>
          <w:tab w:val="left" w:pos="340"/>
        </w:tabs>
        <w:spacing w:line="360" w:lineRule="auto"/>
        <w:ind w:left="-15" w:firstLine="15"/>
        <w:jc w:val="both"/>
        <w:rPr>
          <w:rFonts w:eastAsia="Arial Unicode MS"/>
        </w:rPr>
      </w:pPr>
      <w:r>
        <w:rPr>
          <w:rFonts w:eastAsia="Arial Unicode MS"/>
        </w:rPr>
        <w:t>Se ha constatado que los cajeros no pueden modificar la fecha valor del recibo, a no ser en casos debidamente justificados y aprobados por un Jefe de Departamento.</w:t>
      </w:r>
    </w:p>
    <w:p w:rsidR="0086067E" w:rsidRDefault="0086067E" w:rsidP="0086067E">
      <w:pPr>
        <w:pStyle w:val="Standard"/>
        <w:spacing w:line="360" w:lineRule="auto"/>
        <w:rPr>
          <w:b/>
          <w:bCs/>
        </w:rPr>
      </w:pPr>
      <w:r>
        <w:rPr>
          <w:b/>
          <w:bCs/>
        </w:rPr>
        <w:t>Correlatividad</w:t>
      </w:r>
    </w:p>
    <w:p w:rsidR="0086067E" w:rsidRDefault="0086067E" w:rsidP="0086067E">
      <w:pPr>
        <w:pStyle w:val="Standard"/>
        <w:tabs>
          <w:tab w:val="left" w:pos="340"/>
        </w:tabs>
        <w:spacing w:line="360" w:lineRule="auto"/>
        <w:ind w:left="30"/>
        <w:jc w:val="both"/>
        <w:rPr>
          <w:rFonts w:eastAsia="Arial Unicode MS"/>
        </w:rPr>
      </w:pPr>
      <w:r>
        <w:rPr>
          <w:rFonts w:eastAsia="Arial Unicode MS"/>
        </w:rPr>
        <w:t>En la prueba realizada en el ejercicio 2012 no se encontraron faltantes, sin perjuicio de lo cual, la Comuna no ha podido responder por los recibos faltantes del año anterior.</w:t>
      </w:r>
    </w:p>
    <w:p w:rsidR="0086067E" w:rsidRDefault="0086067E" w:rsidP="0086067E">
      <w:pPr>
        <w:pStyle w:val="Ttulo3"/>
        <w:numPr>
          <w:ilvl w:val="2"/>
          <w:numId w:val="2"/>
        </w:numPr>
        <w:spacing w:line="360" w:lineRule="auto"/>
        <w:rPr>
          <w:sz w:val="24"/>
        </w:rPr>
      </w:pPr>
      <w:bookmarkStart w:id="35" w:name="_Toc370823338"/>
      <w:r>
        <w:rPr>
          <w:sz w:val="24"/>
        </w:rPr>
        <w:t>3.4.2 Recomendaciones de ejercicios anteriores no cumplidas</w:t>
      </w:r>
      <w:bookmarkEnd w:id="35"/>
    </w:p>
    <w:p w:rsidR="0086067E" w:rsidRDefault="0086067E" w:rsidP="0086067E">
      <w:pPr>
        <w:pStyle w:val="Ttulo3"/>
        <w:numPr>
          <w:ilvl w:val="2"/>
          <w:numId w:val="2"/>
        </w:numPr>
        <w:spacing w:line="360" w:lineRule="auto"/>
        <w:rPr>
          <w:sz w:val="24"/>
        </w:rPr>
      </w:pPr>
      <w:bookmarkStart w:id="36" w:name="_Toc370823339"/>
      <w:r>
        <w:rPr>
          <w:sz w:val="24"/>
        </w:rPr>
        <w:t>3.4.2.1  Seguro de caución de fidelidad</w:t>
      </w:r>
      <w:bookmarkEnd w:id="36"/>
    </w:p>
    <w:p w:rsidR="0086067E" w:rsidRDefault="0086067E" w:rsidP="0086067E">
      <w:pPr>
        <w:pStyle w:val="Standard"/>
        <w:spacing w:line="360" w:lineRule="auto"/>
        <w:jc w:val="both"/>
        <w:rPr>
          <w:rFonts w:eastAsia="Arial Unicode MS"/>
        </w:rPr>
      </w:pPr>
      <w:r>
        <w:rPr>
          <w:rFonts w:eastAsia="Arial Unicode MS"/>
        </w:rPr>
        <w:t>La Comuna debe contratar un seguro de caución de fidelidad respecto a todos los funcionarios que manejan fondos o valores, a efectos de cumplir con lo establecido en los Artículos 90 y 154 del TOCAF.</w:t>
      </w:r>
    </w:p>
    <w:p w:rsidR="0086067E" w:rsidRDefault="0086067E" w:rsidP="0086067E">
      <w:pPr>
        <w:pStyle w:val="Ttulo3"/>
        <w:numPr>
          <w:ilvl w:val="2"/>
          <w:numId w:val="2"/>
        </w:numPr>
        <w:spacing w:line="360" w:lineRule="auto"/>
        <w:rPr>
          <w:sz w:val="24"/>
        </w:rPr>
      </w:pPr>
      <w:bookmarkStart w:id="37" w:name="_Toc370823340"/>
      <w:r>
        <w:rPr>
          <w:sz w:val="24"/>
        </w:rPr>
        <w:lastRenderedPageBreak/>
        <w:t>3.4.2.2 Arqueos de caja</w:t>
      </w:r>
      <w:bookmarkEnd w:id="37"/>
    </w:p>
    <w:p w:rsidR="0086067E" w:rsidRDefault="0086067E" w:rsidP="0086067E">
      <w:pPr>
        <w:pStyle w:val="Standard"/>
        <w:spacing w:after="240" w:line="360" w:lineRule="auto"/>
        <w:jc w:val="both"/>
      </w:pPr>
      <w:r>
        <w:t xml:space="preserve">Es necesario incrementar la cantidad de arqueos sorpresivos en la </w:t>
      </w:r>
      <w:proofErr w:type="spellStart"/>
      <w:r>
        <w:t>Tesoreria</w:t>
      </w:r>
      <w:proofErr w:type="spellEnd"/>
      <w:r>
        <w:t xml:space="preserve">  de la Intendencia, a los efectos de determinar la efectividad de los controles de caja y el funcionamiento del manejo de fondos.</w:t>
      </w:r>
    </w:p>
    <w:p w:rsidR="0086067E" w:rsidRDefault="0086067E" w:rsidP="0086067E">
      <w:pPr>
        <w:pStyle w:val="Ttulo3"/>
        <w:numPr>
          <w:ilvl w:val="2"/>
          <w:numId w:val="2"/>
        </w:numPr>
        <w:spacing w:line="360" w:lineRule="auto"/>
        <w:rPr>
          <w:sz w:val="24"/>
        </w:rPr>
      </w:pPr>
      <w:bookmarkStart w:id="38" w:name="_Toc370823341"/>
      <w:r>
        <w:rPr>
          <w:sz w:val="24"/>
        </w:rPr>
        <w:t>3.4.2.3  Horas extras</w:t>
      </w:r>
      <w:bookmarkEnd w:id="38"/>
    </w:p>
    <w:p w:rsidR="0086067E" w:rsidRDefault="0086067E" w:rsidP="0086067E">
      <w:pPr>
        <w:pStyle w:val="Standard"/>
        <w:tabs>
          <w:tab w:val="left" w:pos="1080"/>
        </w:tabs>
        <w:spacing w:after="240" w:line="360" w:lineRule="auto"/>
        <w:jc w:val="both"/>
        <w:rPr>
          <w:rFonts w:eastAsia="Arial Unicode MS"/>
        </w:rPr>
      </w:pPr>
      <w:r>
        <w:rPr>
          <w:rFonts w:eastAsia="Arial Unicode MS"/>
        </w:rPr>
        <w:t>Al igual que en años anteriores, durante el Ejercicio 2012 se autorizaron horas extras sin respetar los límites establecidos por el Convenio Nº 30 de la Organización Internacional del Trabajo.</w:t>
      </w:r>
    </w:p>
    <w:p w:rsidR="0086067E" w:rsidRDefault="0086067E" w:rsidP="0086067E">
      <w:pPr>
        <w:pStyle w:val="Ttulo3"/>
        <w:numPr>
          <w:ilvl w:val="2"/>
          <w:numId w:val="2"/>
        </w:numPr>
        <w:spacing w:line="360" w:lineRule="auto"/>
        <w:rPr>
          <w:sz w:val="24"/>
        </w:rPr>
      </w:pPr>
      <w:bookmarkStart w:id="39" w:name="_Toc370823342"/>
      <w:r>
        <w:rPr>
          <w:sz w:val="24"/>
        </w:rPr>
        <w:t>3.4.2.4 Caducidad de convenios</w:t>
      </w:r>
      <w:bookmarkEnd w:id="39"/>
    </w:p>
    <w:p w:rsidR="0086067E" w:rsidRDefault="0086067E" w:rsidP="0086067E">
      <w:pPr>
        <w:pStyle w:val="Standard"/>
        <w:spacing w:line="360" w:lineRule="auto"/>
        <w:jc w:val="both"/>
        <w:rPr>
          <w:rFonts w:eastAsia="Arial Unicode MS"/>
        </w:rPr>
      </w:pPr>
      <w:r>
        <w:rPr>
          <w:rFonts w:eastAsia="Arial Unicode MS"/>
        </w:rPr>
        <w:t>Es necesario que la Intendencia realice un seguimiento permanente de los convenios vigentes y del cumplimiento de las causales de caducidad de los mismos.</w:t>
      </w:r>
    </w:p>
    <w:p w:rsidR="0086067E" w:rsidRDefault="0086067E" w:rsidP="0086067E">
      <w:pPr>
        <w:pStyle w:val="Ttulo3"/>
        <w:numPr>
          <w:ilvl w:val="2"/>
          <w:numId w:val="2"/>
        </w:numPr>
        <w:spacing w:line="360" w:lineRule="auto"/>
        <w:rPr>
          <w:sz w:val="24"/>
        </w:rPr>
      </w:pPr>
      <w:bookmarkStart w:id="40" w:name="_Toc370823343"/>
      <w:r>
        <w:rPr>
          <w:sz w:val="24"/>
        </w:rPr>
        <w:t>3.4.2.5 Sistemas de recaudación y contabilidad</w:t>
      </w:r>
      <w:bookmarkEnd w:id="40"/>
    </w:p>
    <w:p w:rsidR="0086067E" w:rsidRDefault="0086067E" w:rsidP="0086067E">
      <w:pPr>
        <w:pStyle w:val="Standard"/>
        <w:spacing w:line="360" w:lineRule="auto"/>
        <w:jc w:val="both"/>
      </w:pPr>
      <w:r>
        <w:t>Se deberán ajustar en Geo Tributos los conceptos que implican una disminución en la recaudación (por ejemplo devolución a contribuyentes) a fin de contar con la misma información que el sistema contable y evitar ajustes posteriores.</w:t>
      </w:r>
    </w:p>
    <w:p w:rsidR="0086067E" w:rsidRDefault="0086067E" w:rsidP="0086067E">
      <w:pPr>
        <w:pStyle w:val="Standard"/>
        <w:spacing w:line="360" w:lineRule="auto"/>
        <w:jc w:val="both"/>
      </w:pPr>
      <w:r>
        <w:t>En caso de surgir problemas de pasaje de información del sistema de recaudación al contable, deberán corregir los fallos en el menor tiempo posible.</w:t>
      </w:r>
    </w:p>
    <w:p w:rsidR="0086067E" w:rsidRDefault="0086067E" w:rsidP="0086067E">
      <w:pPr>
        <w:pStyle w:val="Ttulo3"/>
        <w:numPr>
          <w:ilvl w:val="2"/>
          <w:numId w:val="2"/>
        </w:numPr>
        <w:spacing w:line="360" w:lineRule="auto"/>
        <w:rPr>
          <w:sz w:val="24"/>
        </w:rPr>
      </w:pPr>
      <w:bookmarkStart w:id="41" w:name="_Toc370823344"/>
      <w:r>
        <w:rPr>
          <w:sz w:val="24"/>
        </w:rPr>
        <w:t>3.4.2.6 Debilidades de control interno respecto del sistema de  compras</w:t>
      </w:r>
      <w:bookmarkEnd w:id="41"/>
    </w:p>
    <w:p w:rsidR="0086067E" w:rsidRDefault="0086067E" w:rsidP="0086067E">
      <w:pPr>
        <w:pStyle w:val="Standard"/>
        <w:spacing w:line="360" w:lineRule="auto"/>
        <w:jc w:val="both"/>
        <w:rPr>
          <w:rFonts w:eastAsia="Arial Unicode MS"/>
        </w:rPr>
      </w:pPr>
      <w:r>
        <w:rPr>
          <w:rFonts w:eastAsia="Arial Unicode MS"/>
        </w:rPr>
        <w:t>Todos los procedimientos de contratación deberán realizarse de acuerdo a las previsiones anuales proyectadas por grupos de artículos. Asimismo, debe evitarse efectuar compras directas para los mismos artículos con los diferentes fondos permanentes existentes.</w:t>
      </w:r>
    </w:p>
    <w:p w:rsidR="0086067E" w:rsidRDefault="0086067E" w:rsidP="0086067E">
      <w:pPr>
        <w:pStyle w:val="Ttulo3"/>
        <w:tabs>
          <w:tab w:val="clear" w:pos="0"/>
        </w:tabs>
        <w:spacing w:line="360" w:lineRule="auto"/>
        <w:ind w:left="0" w:firstLine="0"/>
        <w:rPr>
          <w:sz w:val="24"/>
        </w:rPr>
      </w:pPr>
      <w:bookmarkStart w:id="42" w:name="_Toc370823345"/>
      <w:r>
        <w:rPr>
          <w:sz w:val="24"/>
        </w:rPr>
        <w:lastRenderedPageBreak/>
        <w:t>3.4.2.7 Área de tecnología de la información</w:t>
      </w:r>
      <w:bookmarkEnd w:id="42"/>
    </w:p>
    <w:p w:rsidR="0086067E" w:rsidRDefault="0086067E" w:rsidP="0086067E">
      <w:pPr>
        <w:pStyle w:val="Standard"/>
        <w:spacing w:line="360" w:lineRule="auto"/>
        <w:jc w:val="both"/>
        <w:rPr>
          <w:rFonts w:eastAsia="Arial Unicode MS"/>
          <w:b/>
          <w:bCs/>
        </w:rPr>
      </w:pPr>
      <w:r>
        <w:rPr>
          <w:rFonts w:eastAsia="Arial Unicode MS"/>
          <w:b/>
          <w:bCs/>
        </w:rPr>
        <w:t>Controles de acceso</w:t>
      </w:r>
    </w:p>
    <w:p w:rsidR="0086067E" w:rsidRDefault="0086067E" w:rsidP="0086067E">
      <w:pPr>
        <w:pStyle w:val="Standard"/>
        <w:spacing w:line="360" w:lineRule="auto"/>
        <w:jc w:val="both"/>
        <w:rPr>
          <w:rFonts w:eastAsia="Arial Unicode MS"/>
        </w:rPr>
      </w:pPr>
      <w:r>
        <w:rPr>
          <w:rFonts w:eastAsia="Arial Unicode MS"/>
        </w:rPr>
        <w:t>Es necesario formalizar los procedimientos para las altas, bajas o modificaciones de usuarios, así como configurarse las políticas de contraseñas a los efectos de evitar accesos no autorizados.</w:t>
      </w:r>
    </w:p>
    <w:p w:rsidR="0086067E" w:rsidRDefault="0086067E" w:rsidP="0086067E">
      <w:pPr>
        <w:pStyle w:val="Standard"/>
        <w:spacing w:line="360" w:lineRule="auto"/>
        <w:jc w:val="both"/>
        <w:rPr>
          <w:rFonts w:eastAsia="Arial Unicode MS"/>
        </w:rPr>
      </w:pPr>
    </w:p>
    <w:p w:rsidR="0086067E" w:rsidRDefault="0086067E" w:rsidP="0086067E">
      <w:pPr>
        <w:pStyle w:val="Standard"/>
        <w:tabs>
          <w:tab w:val="left" w:pos="0"/>
        </w:tabs>
        <w:spacing w:line="360" w:lineRule="auto"/>
        <w:jc w:val="both"/>
        <w:rPr>
          <w:rFonts w:eastAsia="Arial Unicode MS"/>
          <w:b/>
          <w:bCs/>
        </w:rPr>
      </w:pPr>
      <w:r>
        <w:rPr>
          <w:rFonts w:eastAsia="Arial Unicode MS"/>
          <w:b/>
          <w:bCs/>
        </w:rPr>
        <w:t>Continuidad del servicio</w:t>
      </w:r>
    </w:p>
    <w:p w:rsidR="0086067E" w:rsidRDefault="0086067E" w:rsidP="0086067E">
      <w:pPr>
        <w:pStyle w:val="Standard"/>
        <w:spacing w:line="360" w:lineRule="auto"/>
        <w:jc w:val="both"/>
        <w:rPr>
          <w:rFonts w:eastAsia="Arial Unicode MS"/>
        </w:rPr>
      </w:pPr>
      <w:r>
        <w:rPr>
          <w:rFonts w:eastAsia="Arial Unicode MS"/>
        </w:rPr>
        <w:t>Los respaldos en cinta deben realizarse al menos semanalmente y deben mantenerse ubicados fuera del edificio de la Intendencia.</w:t>
      </w:r>
    </w:p>
    <w:p w:rsidR="0086067E" w:rsidRDefault="0086067E" w:rsidP="0086067E">
      <w:pPr>
        <w:pStyle w:val="Standard"/>
        <w:spacing w:line="360" w:lineRule="auto"/>
        <w:jc w:val="both"/>
        <w:rPr>
          <w:rFonts w:eastAsia="Arial Unicode MS"/>
          <w:b/>
          <w:bCs/>
        </w:rPr>
      </w:pPr>
      <w:r>
        <w:rPr>
          <w:rFonts w:eastAsia="Arial Unicode MS"/>
          <w:b/>
          <w:bCs/>
        </w:rPr>
        <w:t>Controles de desarrollo, mantenimiento y cambio de aplicaciones</w:t>
      </w:r>
    </w:p>
    <w:p w:rsidR="0086067E" w:rsidRDefault="0086067E" w:rsidP="0086067E">
      <w:pPr>
        <w:pStyle w:val="Standard"/>
        <w:spacing w:line="360" w:lineRule="auto"/>
        <w:jc w:val="both"/>
        <w:rPr>
          <w:rFonts w:eastAsia="Arial Unicode MS"/>
        </w:rPr>
      </w:pPr>
      <w:r>
        <w:rPr>
          <w:rFonts w:eastAsia="Arial Unicode MS"/>
        </w:rPr>
        <w:t>El aplicativo de solicitudes “Mantis” no debería cerrarse hasta tanto no se haya ingresado en el mismo las soluciones a los distintos errores.</w:t>
      </w:r>
    </w:p>
    <w:p w:rsidR="0086067E" w:rsidRDefault="0086067E" w:rsidP="0086067E">
      <w:pPr>
        <w:pStyle w:val="Ttulo3"/>
        <w:numPr>
          <w:ilvl w:val="2"/>
          <w:numId w:val="2"/>
        </w:numPr>
        <w:spacing w:line="360" w:lineRule="auto"/>
        <w:rPr>
          <w:sz w:val="24"/>
        </w:rPr>
      </w:pPr>
      <w:bookmarkStart w:id="43" w:name="_Toc370823346"/>
      <w:r>
        <w:rPr>
          <w:sz w:val="24"/>
        </w:rPr>
        <w:t>3.4.3 Recomendaciones del ejercicio</w:t>
      </w:r>
      <w:bookmarkEnd w:id="43"/>
    </w:p>
    <w:p w:rsidR="0086067E" w:rsidRDefault="0086067E" w:rsidP="0086067E">
      <w:pPr>
        <w:pStyle w:val="Standard"/>
        <w:spacing w:line="360" w:lineRule="auto"/>
        <w:jc w:val="both"/>
      </w:pPr>
      <w:r>
        <w:t>Se reiteran las recomendaciones señaladas en el apartado 3.4.2 y se agrega las siguientes:</w:t>
      </w:r>
    </w:p>
    <w:p w:rsidR="0086067E" w:rsidRDefault="0086067E" w:rsidP="0086067E">
      <w:pPr>
        <w:pStyle w:val="Ttulo3"/>
        <w:numPr>
          <w:ilvl w:val="2"/>
          <w:numId w:val="2"/>
        </w:numPr>
        <w:spacing w:line="360" w:lineRule="auto"/>
        <w:rPr>
          <w:sz w:val="24"/>
        </w:rPr>
      </w:pPr>
      <w:bookmarkStart w:id="44" w:name="_Toc370823347"/>
      <w:r>
        <w:rPr>
          <w:sz w:val="24"/>
        </w:rPr>
        <w:t>3.4.3.1 Contabilización de gastos presupuestales</w:t>
      </w:r>
      <w:bookmarkEnd w:id="44"/>
    </w:p>
    <w:p w:rsidR="0086067E" w:rsidRDefault="0086067E" w:rsidP="0086067E">
      <w:pPr>
        <w:pStyle w:val="Standard"/>
        <w:spacing w:line="360" w:lineRule="auto"/>
        <w:jc w:val="both"/>
      </w:pPr>
      <w:r>
        <w:t>Se deberán implementar los controles pertinentes a efectos de asegurar que todos los gastos de naturaleza presupuestal, se registren no sólo en la contabilidad patrimonial sino también en la presupuestal.</w:t>
      </w:r>
    </w:p>
    <w:p w:rsidR="0086067E" w:rsidRDefault="0086067E" w:rsidP="0086067E">
      <w:pPr>
        <w:pStyle w:val="Standard"/>
        <w:spacing w:after="240" w:line="360" w:lineRule="auto"/>
        <w:jc w:val="both"/>
      </w:pPr>
      <w:r>
        <w:t>Se recomienda implementar el proceso de imputación en algún Municipio a fin de reducir la carga de documentación a procesar en el edificio de la Intendencia o destinar m</w:t>
      </w:r>
      <w:r w:rsidR="009C55AA">
        <w:t>á</w:t>
      </w:r>
      <w:r>
        <w:t>s personal a dicha tarea.</w:t>
      </w:r>
    </w:p>
    <w:p w:rsidR="0086067E" w:rsidRDefault="0086067E" w:rsidP="0086067E">
      <w:pPr>
        <w:pStyle w:val="Ttulo3"/>
        <w:numPr>
          <w:ilvl w:val="2"/>
          <w:numId w:val="2"/>
        </w:numPr>
        <w:spacing w:line="360" w:lineRule="auto"/>
        <w:rPr>
          <w:sz w:val="24"/>
        </w:rPr>
      </w:pPr>
      <w:bookmarkStart w:id="45" w:name="_Toc370823348"/>
      <w:r>
        <w:rPr>
          <w:sz w:val="24"/>
        </w:rPr>
        <w:t>3.4.3.2 Autorización de gastos en Municipios</w:t>
      </w:r>
      <w:bookmarkEnd w:id="45"/>
    </w:p>
    <w:p w:rsidR="0086067E" w:rsidRDefault="0086067E" w:rsidP="0086067E">
      <w:pPr>
        <w:pStyle w:val="Textoindependiente2"/>
        <w:rPr>
          <w:rFonts w:cs="Times New Roman"/>
        </w:rPr>
      </w:pPr>
      <w:r>
        <w:rPr>
          <w:rFonts w:cs="Times New Roman"/>
        </w:rPr>
        <w:t xml:space="preserve">Todos los gastos que se realicen en los Municipios deberán contar con la autorización del Consejo. </w:t>
      </w:r>
    </w:p>
    <w:p w:rsidR="0086067E" w:rsidRDefault="0086067E" w:rsidP="0086067E">
      <w:pPr>
        <w:pStyle w:val="Ttulo3"/>
        <w:numPr>
          <w:ilvl w:val="2"/>
          <w:numId w:val="2"/>
        </w:numPr>
        <w:spacing w:line="360" w:lineRule="auto"/>
        <w:rPr>
          <w:sz w:val="24"/>
        </w:rPr>
      </w:pPr>
      <w:bookmarkStart w:id="46" w:name="_Toc370823349"/>
      <w:r>
        <w:rPr>
          <w:sz w:val="24"/>
        </w:rPr>
        <w:lastRenderedPageBreak/>
        <w:t>3.4.3.3 Estado de Fondos Indisponibles</w:t>
      </w:r>
      <w:bookmarkEnd w:id="46"/>
    </w:p>
    <w:p w:rsidR="0086067E" w:rsidRDefault="0086067E" w:rsidP="0086067E">
      <w:pPr>
        <w:pStyle w:val="Textoindependiente2"/>
        <w:rPr>
          <w:rFonts w:cs="Times New Roman"/>
        </w:rPr>
      </w:pPr>
      <w:r>
        <w:rPr>
          <w:rFonts w:cs="Times New Roman"/>
        </w:rPr>
        <w:t>La Intendencia deberá realizar los ajustes necesarios en el sistema a fin de que el saldo expuesto como pagado en dicho estado refleje lo que realmente se pagó.</w:t>
      </w:r>
    </w:p>
    <w:p w:rsidR="0086067E" w:rsidRDefault="0086067E" w:rsidP="0086067E">
      <w:pPr>
        <w:pStyle w:val="Ttulo3"/>
        <w:numPr>
          <w:ilvl w:val="2"/>
          <w:numId w:val="2"/>
        </w:numPr>
        <w:spacing w:line="360" w:lineRule="auto"/>
        <w:rPr>
          <w:sz w:val="24"/>
        </w:rPr>
      </w:pPr>
      <w:bookmarkStart w:id="47" w:name="_Toc370823350"/>
      <w:r>
        <w:rPr>
          <w:sz w:val="24"/>
        </w:rPr>
        <w:t>3.4.3.4 Control de guías</w:t>
      </w:r>
      <w:bookmarkEnd w:id="47"/>
    </w:p>
    <w:p w:rsidR="0086067E" w:rsidRDefault="0086067E" w:rsidP="0086067E">
      <w:pPr>
        <w:spacing w:line="360" w:lineRule="auto"/>
      </w:pPr>
      <w:r>
        <w:t>Se debería realizar un seguimiento de la existencia de guías en los distintos Municipios a efectos de mejorar su control.</w:t>
      </w:r>
    </w:p>
    <w:p w:rsidR="0086067E" w:rsidRDefault="0086067E" w:rsidP="0086067E">
      <w:pPr>
        <w:pStyle w:val="Standard"/>
        <w:jc w:val="right"/>
        <w:rPr>
          <w:rFonts w:cs="Times New Roman"/>
          <w:lang w:val="es-UY"/>
        </w:rPr>
      </w:pPr>
      <w:r>
        <w:rPr>
          <w:rFonts w:cs="Times New Roman"/>
          <w:lang w:val="es-UY"/>
        </w:rPr>
        <w:t xml:space="preserve">Montevideo, </w:t>
      </w:r>
      <w:r w:rsidR="009C55AA">
        <w:rPr>
          <w:rFonts w:cs="Times New Roman"/>
          <w:lang w:val="es-UY"/>
        </w:rPr>
        <w:t>28 de octubre de 2013</w:t>
      </w:r>
    </w:p>
    <w:p w:rsidR="0086067E" w:rsidRDefault="0086067E" w:rsidP="0086067E">
      <w:pPr>
        <w:pStyle w:val="Standard"/>
        <w:jc w:val="right"/>
        <w:rPr>
          <w:rFonts w:cs="Times New Roman"/>
          <w:lang w:val="es-UY"/>
        </w:rPr>
      </w:pPr>
    </w:p>
    <w:p w:rsidR="0086067E" w:rsidRDefault="0086067E" w:rsidP="0086067E">
      <w:pPr>
        <w:pStyle w:val="Standard"/>
        <w:jc w:val="right"/>
        <w:rPr>
          <w:rFonts w:cs="Times New Roman"/>
          <w:lang w:val="es-UY"/>
        </w:rPr>
      </w:pPr>
    </w:p>
    <w:p w:rsidR="009660D0" w:rsidRPr="009C55AA" w:rsidRDefault="009C55AA" w:rsidP="009C55AA">
      <w:pPr>
        <w:pStyle w:val="Standard"/>
        <w:rPr>
          <w:rFonts w:cs="Times New Roman"/>
          <w:lang w:val="es-UY"/>
        </w:rPr>
      </w:pPr>
      <w:proofErr w:type="spellStart"/>
      <w:proofErr w:type="gramStart"/>
      <w:r>
        <w:rPr>
          <w:rFonts w:cs="Times New Roman"/>
          <w:lang w:val="es-UY"/>
        </w:rPr>
        <w:t>cr</w:t>
      </w:r>
      <w:proofErr w:type="spellEnd"/>
      <w:proofErr w:type="gramEnd"/>
    </w:p>
    <w:sectPr w:rsidR="009660D0" w:rsidRPr="009C55AA" w:rsidSect="00B06BEA">
      <w:footerReference w:type="even" r:id="rId8"/>
      <w:footerReference w:type="default" r:id="rId9"/>
      <w:type w:val="continuous"/>
      <w:pgSz w:w="11906" w:h="16838" w:code="9"/>
      <w:pgMar w:top="3402" w:right="170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78" w:rsidRDefault="00AE2878">
      <w:r>
        <w:separator/>
      </w:r>
    </w:p>
  </w:endnote>
  <w:endnote w:type="continuationSeparator" w:id="0">
    <w:p w:rsidR="00AE2878" w:rsidRDefault="00AE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0"/>
    <w:family w:val="auto"/>
    <w:pitch w:val="variable"/>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78" w:rsidRDefault="00AE287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E2878" w:rsidRDefault="00AE287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878" w:rsidRDefault="00AE287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5760">
      <w:rPr>
        <w:rStyle w:val="Nmerodepgina"/>
        <w:noProof/>
      </w:rPr>
      <w:t>18</w:t>
    </w:r>
    <w:r>
      <w:rPr>
        <w:rStyle w:val="Nmerodepgina"/>
      </w:rPr>
      <w:fldChar w:fldCharType="end"/>
    </w:r>
  </w:p>
  <w:p w:rsidR="00AE2878" w:rsidRDefault="00AE2878">
    <w:pPr>
      <w:pStyle w:val="Piedepgina"/>
      <w:framePr w:wrap="around" w:vAnchor="text" w:hAnchor="margin" w:xAlign="outside" w:y="1"/>
      <w:ind w:right="360"/>
      <w:rPr>
        <w:rStyle w:val="Nmerodepgina"/>
      </w:rPr>
    </w:pPr>
  </w:p>
  <w:p w:rsidR="00AE2878" w:rsidRDefault="00AE2878">
    <w:pPr>
      <w:framePr w:wrap="around" w:vAnchor="text" w:hAnchor="margin" w:xAlign="outside" w:y="1"/>
      <w:ind w:right="360" w:firstLine="360"/>
    </w:pPr>
  </w:p>
  <w:p w:rsidR="00AE2878" w:rsidRDefault="00AE2878">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78" w:rsidRDefault="00AE2878">
      <w:r>
        <w:separator/>
      </w:r>
    </w:p>
  </w:footnote>
  <w:footnote w:type="continuationSeparator" w:id="0">
    <w:p w:rsidR="00AE2878" w:rsidRDefault="00AE28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numFmt w:val="bullet"/>
      <w:lvlText w:val="*"/>
      <w:lvlJc w:val="left"/>
      <w:pPr>
        <w:tabs>
          <w:tab w:val="num" w:pos="0"/>
        </w:tabs>
        <w:ind w:left="0" w:firstLine="0"/>
      </w:pPr>
      <w:rPr>
        <w:rFonts w:ascii="OpenSymbol" w:hAnsi="OpenSymbol"/>
        <w:b/>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1B229CA"/>
    <w:multiLevelType w:val="singleLevel"/>
    <w:tmpl w:val="CA2EEF8C"/>
    <w:lvl w:ilvl="0">
      <w:start w:val="1"/>
      <w:numFmt w:val="decimal"/>
      <w:lvlText w:val="%1)"/>
      <w:legacy w:legacy="1" w:legacySpace="120" w:legacyIndent="360"/>
      <w:lvlJc w:val="left"/>
      <w:pPr>
        <w:ind w:left="360" w:hanging="360"/>
      </w:pPr>
      <w:rPr>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BEA"/>
    <w:rsid w:val="006E527C"/>
    <w:rsid w:val="0086067E"/>
    <w:rsid w:val="009660D0"/>
    <w:rsid w:val="009C55AA"/>
    <w:rsid w:val="00A47C05"/>
    <w:rsid w:val="00AE2878"/>
    <w:rsid w:val="00B06BEA"/>
    <w:rsid w:val="00F557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b/>
    </w:rPr>
  </w:style>
  <w:style w:type="paragraph" w:styleId="Ttulo2">
    <w:name w:val="heading 2"/>
    <w:basedOn w:val="Normal"/>
    <w:next w:val="Normal"/>
    <w:link w:val="Ttulo2Car"/>
    <w:qFormat/>
    <w:pPr>
      <w:keepNext/>
      <w:spacing w:line="360" w:lineRule="auto"/>
      <w:outlineLvl w:val="1"/>
    </w:pPr>
    <w:rPr>
      <w:b/>
      <w:bCs/>
    </w:rPr>
  </w:style>
  <w:style w:type="paragraph" w:styleId="Ttulo3">
    <w:name w:val="heading 3"/>
    <w:basedOn w:val="Normal"/>
    <w:next w:val="Normal"/>
    <w:link w:val="Ttulo3Car"/>
    <w:qFormat/>
    <w:rsid w:val="0086067E"/>
    <w:pPr>
      <w:keepNext/>
      <w:widowControl w:val="0"/>
      <w:tabs>
        <w:tab w:val="num" w:pos="0"/>
      </w:tabs>
      <w:suppressAutoHyphens/>
      <w:spacing w:before="240" w:after="60"/>
      <w:ind w:left="720" w:hanging="720"/>
      <w:textAlignment w:val="baseline"/>
      <w:outlineLvl w:val="2"/>
    </w:pPr>
    <w:rPr>
      <w:rFonts w:eastAsia="SimSun" w:cs="Arial"/>
      <w:b/>
      <w:bCs/>
      <w:kern w:val="1"/>
      <w:sz w:val="26"/>
      <w:szCs w:val="26"/>
      <w:lang w:val="es-UY"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pPr>
      <w:overflowPunct w:val="0"/>
      <w:autoSpaceDE w:val="0"/>
      <w:autoSpaceDN w:val="0"/>
      <w:adjustRightInd w:val="0"/>
      <w:spacing w:before="220" w:line="240" w:lineRule="atLeast"/>
      <w:jc w:val="both"/>
      <w:textAlignment w:val="baseline"/>
    </w:pPr>
    <w:rPr>
      <w:kern w:val="18"/>
      <w:szCs w:val="20"/>
    </w:rPr>
  </w:style>
  <w:style w:type="paragraph" w:styleId="Piedepgina">
    <w:name w:val="footer"/>
    <w:basedOn w:val="Normal"/>
    <w:semiHidden/>
    <w:pPr>
      <w:tabs>
        <w:tab w:val="center" w:pos="4419"/>
        <w:tab w:val="right" w:pos="8838"/>
      </w:tabs>
      <w:overflowPunct w:val="0"/>
      <w:autoSpaceDE w:val="0"/>
      <w:autoSpaceDN w:val="0"/>
      <w:adjustRightInd w:val="0"/>
      <w:spacing w:line="360" w:lineRule="auto"/>
      <w:jc w:val="both"/>
      <w:textAlignment w:val="baseline"/>
    </w:pPr>
    <w:rPr>
      <w:kern w:val="18"/>
      <w:szCs w:val="20"/>
      <w:lang w:val="es-ES_tradnl"/>
    </w:rPr>
  </w:style>
  <w:style w:type="character" w:styleId="Nmerodepgina">
    <w:name w:val="page number"/>
    <w:basedOn w:val="Fuentedeprrafopredeter"/>
    <w:semiHidden/>
  </w:style>
  <w:style w:type="character" w:customStyle="1" w:styleId="Ttulo3Car">
    <w:name w:val="Título 3 Car"/>
    <w:basedOn w:val="Fuentedeprrafopredeter"/>
    <w:link w:val="Ttulo3"/>
    <w:rsid w:val="0086067E"/>
    <w:rPr>
      <w:rFonts w:ascii="Arial" w:eastAsia="SimSun" w:hAnsi="Arial" w:cs="Arial"/>
      <w:b/>
      <w:bCs/>
      <w:kern w:val="1"/>
      <w:sz w:val="26"/>
      <w:szCs w:val="26"/>
      <w:lang w:eastAsia="hi-IN" w:bidi="hi-IN"/>
    </w:rPr>
  </w:style>
  <w:style w:type="character" w:customStyle="1" w:styleId="Ttulo1Car">
    <w:name w:val="Título 1 Car"/>
    <w:link w:val="Ttulo1"/>
    <w:rsid w:val="0086067E"/>
    <w:rPr>
      <w:rFonts w:ascii="Arial" w:hAnsi="Arial"/>
      <w:b/>
      <w:sz w:val="24"/>
      <w:szCs w:val="24"/>
      <w:lang w:val="es-ES" w:eastAsia="es-ES"/>
    </w:rPr>
  </w:style>
  <w:style w:type="paragraph" w:styleId="Textoindependiente">
    <w:name w:val="Body Text"/>
    <w:basedOn w:val="Normal"/>
    <w:link w:val="TextoindependienteCar"/>
    <w:semiHidden/>
    <w:rsid w:val="0086067E"/>
    <w:pPr>
      <w:widowControl w:val="0"/>
      <w:suppressAutoHyphens/>
      <w:spacing w:after="120"/>
      <w:textAlignment w:val="baseline"/>
    </w:pPr>
    <w:rPr>
      <w:rFonts w:ascii="Times New Roman" w:eastAsia="SimSun" w:hAnsi="Times New Roman"/>
      <w:kern w:val="1"/>
      <w:lang w:val="es-UY" w:eastAsia="hi-IN" w:bidi="hi-IN"/>
    </w:rPr>
  </w:style>
  <w:style w:type="character" w:customStyle="1" w:styleId="TextoindependienteCar">
    <w:name w:val="Texto independiente Car"/>
    <w:basedOn w:val="Fuentedeprrafopredeter"/>
    <w:link w:val="Textoindependiente"/>
    <w:semiHidden/>
    <w:rsid w:val="0086067E"/>
    <w:rPr>
      <w:rFonts w:eastAsia="SimSun"/>
      <w:kern w:val="1"/>
      <w:sz w:val="24"/>
      <w:szCs w:val="24"/>
      <w:lang w:eastAsia="hi-IN" w:bidi="hi-IN"/>
    </w:rPr>
  </w:style>
  <w:style w:type="paragraph" w:customStyle="1" w:styleId="Standard">
    <w:name w:val="Standard"/>
    <w:rsid w:val="0086067E"/>
    <w:pPr>
      <w:widowControl w:val="0"/>
      <w:suppressAutoHyphens/>
      <w:textAlignment w:val="baseline"/>
    </w:pPr>
    <w:rPr>
      <w:rFonts w:ascii="Arial" w:eastAsia="SimSun" w:hAnsi="Arial" w:cs="Arial"/>
      <w:kern w:val="1"/>
      <w:sz w:val="24"/>
      <w:szCs w:val="24"/>
      <w:lang w:val="es-ES" w:eastAsia="hi-IN" w:bidi="hi-IN"/>
    </w:rPr>
  </w:style>
  <w:style w:type="paragraph" w:styleId="Textoindependiente2">
    <w:name w:val="Body Text 2"/>
    <w:basedOn w:val="Normal"/>
    <w:link w:val="Textoindependiente2Car"/>
    <w:semiHidden/>
    <w:rsid w:val="0086067E"/>
    <w:pPr>
      <w:widowControl w:val="0"/>
      <w:suppressAutoHyphens/>
      <w:spacing w:line="360" w:lineRule="auto"/>
      <w:jc w:val="both"/>
      <w:textAlignment w:val="baseline"/>
    </w:pPr>
    <w:rPr>
      <w:rFonts w:eastAsia="SimSun" w:cs="Arial"/>
      <w:kern w:val="1"/>
      <w:lang w:val="es-UY" w:eastAsia="hi-IN" w:bidi="hi-IN"/>
    </w:rPr>
  </w:style>
  <w:style w:type="character" w:customStyle="1" w:styleId="Textoindependiente2Car">
    <w:name w:val="Texto independiente 2 Car"/>
    <w:basedOn w:val="Fuentedeprrafopredeter"/>
    <w:link w:val="Textoindependiente2"/>
    <w:semiHidden/>
    <w:rsid w:val="0086067E"/>
    <w:rPr>
      <w:rFonts w:ascii="Arial" w:eastAsia="SimSun" w:hAnsi="Arial" w:cs="Arial"/>
      <w:kern w:val="1"/>
      <w:sz w:val="24"/>
      <w:szCs w:val="24"/>
      <w:lang w:eastAsia="hi-IN" w:bidi="hi-IN"/>
    </w:rPr>
  </w:style>
  <w:style w:type="paragraph" w:styleId="Textoindependiente3">
    <w:name w:val="Body Text 3"/>
    <w:basedOn w:val="Normal"/>
    <w:link w:val="Textoindependiente3Car"/>
    <w:semiHidden/>
    <w:rsid w:val="0086067E"/>
    <w:pPr>
      <w:overflowPunct w:val="0"/>
      <w:autoSpaceDE w:val="0"/>
      <w:autoSpaceDN w:val="0"/>
      <w:adjustRightInd w:val="0"/>
      <w:spacing w:line="360" w:lineRule="auto"/>
      <w:jc w:val="both"/>
      <w:textAlignment w:val="baseline"/>
    </w:pPr>
    <w:rPr>
      <w:color w:val="000000"/>
      <w:kern w:val="18"/>
      <w:szCs w:val="20"/>
      <w:lang w:val="es-ES_tradnl" w:bidi="hi-IN"/>
    </w:rPr>
  </w:style>
  <w:style w:type="character" w:customStyle="1" w:styleId="Textoindependiente3Car">
    <w:name w:val="Texto independiente 3 Car"/>
    <w:basedOn w:val="Fuentedeprrafopredeter"/>
    <w:link w:val="Textoindependiente3"/>
    <w:semiHidden/>
    <w:rsid w:val="0086067E"/>
    <w:rPr>
      <w:rFonts w:ascii="Arial" w:hAnsi="Arial"/>
      <w:color w:val="000000"/>
      <w:kern w:val="18"/>
      <w:sz w:val="24"/>
      <w:lang w:val="es-ES_tradnl" w:eastAsia="es-ES" w:bidi="hi-IN"/>
    </w:rPr>
  </w:style>
  <w:style w:type="character" w:customStyle="1" w:styleId="Ttulo2Car">
    <w:name w:val="Título 2 Car"/>
    <w:link w:val="Ttulo2"/>
    <w:rsid w:val="0086067E"/>
    <w:rPr>
      <w:rFonts w:ascii="Arial" w:hAnsi="Arial"/>
      <w:b/>
      <w:bCs/>
      <w:sz w:val="24"/>
      <w:szCs w:val="24"/>
      <w:lang w:val="es-ES" w:eastAsia="es-ES"/>
    </w:rPr>
  </w:style>
  <w:style w:type="paragraph" w:styleId="Subttulo">
    <w:name w:val="Subtitle"/>
    <w:basedOn w:val="Normal"/>
    <w:link w:val="SubttuloCar"/>
    <w:qFormat/>
    <w:rsid w:val="0086067E"/>
    <w:pPr>
      <w:overflowPunct w:val="0"/>
      <w:autoSpaceDE w:val="0"/>
      <w:autoSpaceDN w:val="0"/>
      <w:adjustRightInd w:val="0"/>
      <w:spacing w:line="360" w:lineRule="auto"/>
      <w:jc w:val="both"/>
      <w:textAlignment w:val="baseline"/>
    </w:pPr>
    <w:rPr>
      <w:rFonts w:ascii="Bookman Old Style" w:hAnsi="Bookman Old Style"/>
      <w:b/>
      <w:kern w:val="18"/>
      <w:szCs w:val="20"/>
      <w:lang w:bidi="hi-IN"/>
    </w:rPr>
  </w:style>
  <w:style w:type="character" w:customStyle="1" w:styleId="SubttuloCar">
    <w:name w:val="Subtítulo Car"/>
    <w:basedOn w:val="Fuentedeprrafopredeter"/>
    <w:link w:val="Subttulo"/>
    <w:rsid w:val="0086067E"/>
    <w:rPr>
      <w:rFonts w:ascii="Bookman Old Style" w:hAnsi="Bookman Old Style"/>
      <w:b/>
      <w:kern w:val="18"/>
      <w:sz w:val="24"/>
      <w:lang w:val="es-ES" w:eastAsia="es-ES"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4139</Words>
  <Characters>22766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Expediente Nº 2013-17-1-0004220</vt:lpstr>
    </vt:vector>
  </TitlesOfParts>
  <Company>TRIBUNAL DE CUENTAS</Company>
  <LinksUpToDate>false</LinksUpToDate>
  <CharactersWithSpaces>26852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Nº 2013-17-1-0004220</dc:title>
  <dc:subject/>
  <dc:creator>TRIBUNAL</dc:creator>
  <cp:keywords/>
  <dc:description/>
  <cp:lastModifiedBy> </cp:lastModifiedBy>
  <cp:revision>4</cp:revision>
  <cp:lastPrinted>2013-11-14T14:10:00Z</cp:lastPrinted>
  <dcterms:created xsi:type="dcterms:W3CDTF">2013-11-14T14:11:00Z</dcterms:created>
  <dcterms:modified xsi:type="dcterms:W3CDTF">2013-12-09T15:04:00Z</dcterms:modified>
</cp:coreProperties>
</file>