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9F" w:rsidRDefault="007F349F">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7F349F" w:rsidRDefault="007F349F">
      <w:pPr>
        <w:tabs>
          <w:tab w:val="left" w:pos="-720"/>
        </w:tabs>
        <w:suppressAutoHyphens/>
        <w:jc w:val="center"/>
        <w:rPr>
          <w:rFonts w:ascii="Helvetica" w:hAnsi="Helvetica"/>
          <w:b/>
          <w:lang w:val="es-ES_tradnl"/>
        </w:rPr>
      </w:pPr>
    </w:p>
    <w:p w:rsidR="007F349F" w:rsidRDefault="007F349F">
      <w:pPr>
        <w:tabs>
          <w:tab w:val="center" w:pos="4253"/>
        </w:tabs>
        <w:suppressAutoHyphens/>
        <w:jc w:val="center"/>
        <w:rPr>
          <w:rFonts w:ascii="Helvetica" w:hAnsi="Helvetica"/>
          <w:b/>
          <w:lang w:val="es-ES_tradnl"/>
        </w:rPr>
      </w:pPr>
      <w:r>
        <w:rPr>
          <w:rFonts w:ascii="Helvetica" w:hAnsi="Helvetica"/>
          <w:b/>
          <w:lang w:val="es-ES_tradnl"/>
        </w:rPr>
        <w:t>TRIBUNAL DE CUENTAS</w:t>
      </w:r>
    </w:p>
    <w:p w:rsidR="007F349F" w:rsidRDefault="007F349F">
      <w:pPr>
        <w:tabs>
          <w:tab w:val="left" w:pos="-720"/>
        </w:tabs>
        <w:suppressAutoHyphens/>
        <w:jc w:val="center"/>
        <w:rPr>
          <w:rFonts w:ascii="Helvetica" w:hAnsi="Helvetica"/>
          <w:b/>
          <w:lang w:val="es-ES_tradnl"/>
        </w:rPr>
      </w:pPr>
    </w:p>
    <w:p w:rsidR="007F349F" w:rsidRDefault="007F349F">
      <w:pPr>
        <w:tabs>
          <w:tab w:val="center" w:pos="4253"/>
        </w:tabs>
        <w:suppressAutoHyphens/>
        <w:jc w:val="center"/>
        <w:rPr>
          <w:rFonts w:ascii="Helvetica" w:hAnsi="Helvetica"/>
          <w:b/>
          <w:lang w:val="es-ES_tradnl"/>
        </w:rPr>
      </w:pPr>
      <w:r>
        <w:rPr>
          <w:rFonts w:ascii="Helvetica" w:hAnsi="Helvetica"/>
          <w:b/>
          <w:lang w:val="es-ES_tradnl"/>
        </w:rPr>
        <w:t xml:space="preserve">EN SESION DE FECHA 13 DE </w:t>
      </w:r>
      <w:r>
        <w:rPr>
          <w:rFonts w:ascii="Helvetica" w:hAnsi="Helvetica"/>
          <w:b/>
          <w:lang w:val="es-ES_tradnl"/>
        </w:rPr>
        <w:tab/>
        <w:t>NOVIEMBRE DE 2013</w:t>
      </w:r>
    </w:p>
    <w:p w:rsidR="007F349F" w:rsidRDefault="007F349F">
      <w:pPr>
        <w:tabs>
          <w:tab w:val="center" w:pos="4253"/>
        </w:tabs>
        <w:suppressAutoHyphens/>
        <w:jc w:val="center"/>
        <w:rPr>
          <w:rFonts w:ascii="Helvetica" w:hAnsi="Helvetica"/>
          <w:b/>
          <w:lang w:val="es-ES_tradnl"/>
        </w:rPr>
      </w:pPr>
    </w:p>
    <w:p w:rsidR="007F349F" w:rsidRPr="00A53C82" w:rsidRDefault="007F349F">
      <w:pPr>
        <w:tabs>
          <w:tab w:val="center" w:pos="4253"/>
        </w:tabs>
        <w:suppressAutoHyphens/>
        <w:jc w:val="center"/>
        <w:rPr>
          <w:rFonts w:ascii="Helvetica" w:hAnsi="Helvetica"/>
          <w:b/>
          <w:lang w:val="es-UY"/>
        </w:rPr>
      </w:pPr>
      <w:r w:rsidRPr="00A53C82">
        <w:rPr>
          <w:rFonts w:ascii="Helvetica" w:hAnsi="Helvetica"/>
          <w:b/>
          <w:lang w:val="es-UY"/>
        </w:rPr>
        <w:t xml:space="preserve">(E. E. Nº 2013-17-1-0002101, </w:t>
      </w:r>
      <w:proofErr w:type="spellStart"/>
      <w:r w:rsidRPr="00A53C82">
        <w:rPr>
          <w:rFonts w:ascii="Helvetica" w:hAnsi="Helvetica"/>
          <w:b/>
          <w:lang w:val="es-UY"/>
        </w:rPr>
        <w:t>Ent</w:t>
      </w:r>
      <w:proofErr w:type="spellEnd"/>
      <w:r w:rsidRPr="00A53C82">
        <w:rPr>
          <w:rFonts w:ascii="Helvetica" w:hAnsi="Helvetica"/>
          <w:b/>
          <w:lang w:val="es-UY"/>
        </w:rPr>
        <w:t xml:space="preserve">. N° </w:t>
      </w:r>
      <w:r w:rsidR="00A53C82" w:rsidRPr="00A53C82">
        <w:rPr>
          <w:rFonts w:ascii="Helvetica" w:hAnsi="Helvetica"/>
          <w:b/>
          <w:lang w:val="es-UY"/>
        </w:rPr>
        <w:t>5794/13</w:t>
      </w:r>
      <w:r w:rsidRPr="00A53C82">
        <w:rPr>
          <w:rFonts w:ascii="Helvetica" w:hAnsi="Helvetica"/>
          <w:b/>
          <w:lang w:val="es-UY"/>
        </w:rPr>
        <w:t>)</w:t>
      </w:r>
    </w:p>
    <w:p w:rsidR="007F349F" w:rsidRPr="00A53C82" w:rsidRDefault="007F349F">
      <w:pPr>
        <w:tabs>
          <w:tab w:val="center" w:pos="4253"/>
        </w:tabs>
        <w:suppressAutoHyphens/>
        <w:rPr>
          <w:rFonts w:ascii="Arial" w:hAnsi="Arial"/>
          <w:spacing w:val="-3"/>
          <w:lang w:val="es-UY"/>
        </w:rPr>
      </w:pPr>
    </w:p>
    <w:p w:rsidR="00C46063" w:rsidRDefault="00983569" w:rsidP="00A53C82">
      <w:pPr>
        <w:spacing w:line="360" w:lineRule="auto"/>
        <w:ind w:firstLine="708"/>
        <w:jc w:val="both"/>
        <w:rPr>
          <w:rFonts w:ascii="Arial" w:hAnsi="Arial" w:cs="Arial"/>
          <w:bCs/>
          <w:highlight w:val="yellow"/>
          <w:lang w:val="es-MX"/>
        </w:rPr>
      </w:pPr>
      <w:r>
        <w:rPr>
          <w:rFonts w:ascii="Arial" w:hAnsi="Arial" w:cs="Arial"/>
          <w:b/>
          <w:bCs/>
          <w:lang w:val="es-MX"/>
        </w:rPr>
        <w:t xml:space="preserve">VISTO: </w:t>
      </w:r>
      <w:r>
        <w:rPr>
          <w:rFonts w:ascii="Arial" w:hAnsi="Arial" w:cs="Arial"/>
          <w:lang w:val="es-MX"/>
        </w:rPr>
        <w:t xml:space="preserve">la nota de fecha 09.10.13, remitida por la Administración de Obras Sanitarias del Estado, relacionada con la reiteración del gasto derivado de la Licitación Pública P12301, para la contratación de personal para desarrollo de servicios de registración y análisis comercial y trabajos de verificación de servicios de agua; </w:t>
      </w:r>
    </w:p>
    <w:p w:rsidR="00C46063" w:rsidRDefault="00983569">
      <w:pPr>
        <w:spacing w:line="360" w:lineRule="auto"/>
        <w:ind w:firstLine="708"/>
        <w:jc w:val="both"/>
        <w:rPr>
          <w:rFonts w:ascii="Arial" w:hAnsi="Arial" w:cs="Arial"/>
          <w:bCs/>
          <w:lang w:val="es-ES_tradnl"/>
        </w:rPr>
      </w:pPr>
      <w:r>
        <w:rPr>
          <w:rFonts w:ascii="Arial" w:hAnsi="Arial" w:cs="Arial"/>
          <w:b/>
          <w:bCs/>
          <w:lang w:val="es-MX"/>
        </w:rPr>
        <w:t>RESULTANDO:</w:t>
      </w:r>
      <w:r>
        <w:rPr>
          <w:rFonts w:ascii="Arial" w:hAnsi="Arial" w:cs="Arial"/>
          <w:lang w:val="es-MX"/>
        </w:rPr>
        <w:t xml:space="preserve"> </w:t>
      </w:r>
      <w:r>
        <w:rPr>
          <w:rFonts w:ascii="Arial" w:hAnsi="Arial" w:cs="Arial"/>
          <w:b/>
          <w:bCs/>
        </w:rPr>
        <w:t>1)</w:t>
      </w:r>
      <w:r>
        <w:rPr>
          <w:rFonts w:ascii="Arial" w:hAnsi="Arial" w:cs="Arial"/>
        </w:rPr>
        <w:t xml:space="preserve"> que por Resolución Nº 497/12 de fecha 18.04.12, el </w:t>
      </w:r>
      <w:r>
        <w:rPr>
          <w:rFonts w:ascii="Arial" w:hAnsi="Arial" w:cs="Arial"/>
          <w:bCs/>
        </w:rPr>
        <w:t>Directorio de OSE</w:t>
      </w:r>
      <w:r>
        <w:rPr>
          <w:rFonts w:ascii="Arial" w:hAnsi="Arial" w:cs="Arial"/>
        </w:rPr>
        <w:t xml:space="preserve">, adjudicó la licitación referida a la firma Eduardo </w:t>
      </w:r>
      <w:proofErr w:type="spellStart"/>
      <w:r>
        <w:rPr>
          <w:rFonts w:ascii="Arial" w:hAnsi="Arial" w:cs="Arial"/>
        </w:rPr>
        <w:t>Berruti</w:t>
      </w:r>
      <w:proofErr w:type="spellEnd"/>
      <w:r>
        <w:rPr>
          <w:rFonts w:ascii="Arial" w:hAnsi="Arial" w:cs="Arial"/>
        </w:rPr>
        <w:t xml:space="preserve">, por un monto total de $ 42.935.840,64, impuestos incluidos; </w:t>
      </w:r>
    </w:p>
    <w:p w:rsidR="00C46063" w:rsidRDefault="00983569" w:rsidP="00F94A43">
      <w:pPr>
        <w:spacing w:line="360" w:lineRule="auto"/>
        <w:ind w:firstLine="2552"/>
        <w:jc w:val="both"/>
        <w:rPr>
          <w:rFonts w:ascii="Arial" w:hAnsi="Arial" w:cs="Arial"/>
          <w:bCs/>
          <w:lang w:val="es-ES_tradnl"/>
        </w:rPr>
      </w:pPr>
      <w:r>
        <w:rPr>
          <w:rFonts w:ascii="Arial" w:hAnsi="Arial" w:cs="Arial"/>
          <w:b/>
          <w:bCs/>
        </w:rPr>
        <w:t xml:space="preserve">2) </w:t>
      </w:r>
      <w:r>
        <w:rPr>
          <w:rFonts w:ascii="Arial" w:hAnsi="Arial" w:cs="Arial"/>
        </w:rPr>
        <w:t xml:space="preserve">que este Tribunal, en </w:t>
      </w:r>
      <w:r w:rsidR="00994204">
        <w:rPr>
          <w:rFonts w:ascii="Arial" w:hAnsi="Arial" w:cs="Arial"/>
        </w:rPr>
        <w:t>S</w:t>
      </w:r>
      <w:r>
        <w:rPr>
          <w:rFonts w:ascii="Arial" w:hAnsi="Arial" w:cs="Arial"/>
        </w:rPr>
        <w:t xml:space="preserve">esión  de fecha 29 de mayo de 2013, observa el gasto correspondiente, en virtud de las siguientes consideraciones: </w:t>
      </w:r>
      <w:r>
        <w:rPr>
          <w:rFonts w:ascii="Arial" w:hAnsi="Arial" w:cs="Arial"/>
          <w:b/>
          <w:bCs/>
        </w:rPr>
        <w:t>I)</w:t>
      </w:r>
      <w:r>
        <w:rPr>
          <w:rFonts w:ascii="Arial" w:hAnsi="Arial" w:cs="Arial"/>
        </w:rPr>
        <w:t xml:space="preserve"> Se contravino lo dispuesto por el Artículo 15 del TOCAF (vigente al momento de la contratación), al haberse comprometido un gasto sin que exista crédito presupuestal suficiente en el rubro de imputación contable; </w:t>
      </w:r>
      <w:r>
        <w:rPr>
          <w:rFonts w:ascii="Arial" w:hAnsi="Arial" w:cs="Arial"/>
          <w:b/>
          <w:bCs/>
        </w:rPr>
        <w:t>II)</w:t>
      </w:r>
      <w:r>
        <w:rPr>
          <w:rFonts w:ascii="Arial" w:hAnsi="Arial" w:cs="Arial"/>
        </w:rPr>
        <w:t xml:space="preserve"> El Artículo 8.6 del Pliego de Condiciones Particulares establece que las ofertas se evaluarán teniendo en cuenta el grado de cumplimiento de las condiciones establecidas en los pliegos, entre otros factores, contraviniéndose lo preceptuado por el Artículo 54 Inciso 1) del TOCAF (vigente al momento de la contratación), que requiere que los oferentes presenten sus ofertas en las condiciones y forma que se establezca en los pliegos respectivos, y vulnerándose el principio de estricto cumplimiento del Pliego de Condiciones; </w:t>
      </w:r>
      <w:r>
        <w:rPr>
          <w:rFonts w:ascii="Arial" w:hAnsi="Arial" w:cs="Arial"/>
          <w:b/>
          <w:bCs/>
        </w:rPr>
        <w:t>III)</w:t>
      </w:r>
      <w:r>
        <w:rPr>
          <w:rFonts w:ascii="Arial" w:hAnsi="Arial" w:cs="Arial"/>
        </w:rPr>
        <w:t xml:space="preserve"> Se incumple con lo dispuesto por el Artículo 31 del Decreto 232/010 reglamentario de la Ley Nº 18.381 (Acceso a la Información Pública) el cual exige que </w:t>
      </w:r>
      <w:r>
        <w:rPr>
          <w:rFonts w:ascii="Arial" w:hAnsi="Arial" w:cs="Arial"/>
          <w:i/>
          <w:iCs/>
        </w:rPr>
        <w:t xml:space="preserve">“para que la información pueda ser clasificada como confidencial se requerirá resolución fundada de la autoridad administrativa competente tanto </w:t>
      </w:r>
      <w:r>
        <w:rPr>
          <w:rFonts w:ascii="Arial" w:hAnsi="Arial" w:cs="Arial"/>
          <w:i/>
          <w:iCs/>
        </w:rPr>
        <w:lastRenderedPageBreak/>
        <w:t>en el momento en que se genera el documento o expediente como en el momento en que se recibe la solicitud de acceso a la información, en el caso que no se hubiera clasificado previamente”</w:t>
      </w:r>
      <w:r>
        <w:rPr>
          <w:rFonts w:ascii="Arial" w:hAnsi="Arial" w:cs="Arial"/>
        </w:rPr>
        <w:t xml:space="preserve">,  por cuanto no consta la existencia de resolución que diere fundamento a la confidencialidad de la misma, sino únicamente se estableció una cláusula en el artículo 5.2 del Pliego de Condiciones Particulares que dicta que “los referidos curriculum serán presentados por separado y en sobre cerrado, identificado solamente con un numero de postulante, para uso confidencial de la Administración”, no cumpliéndose con las formalidades exigidas por la normativa para otorgar tal calcificación. Dado que la confidencialidad es una excepción a los principios de transparencia y publicidad, debe ser interpretada en forma estricta. Ante la ausencia de cumplimiento de los requisitos exigidos para la clasificación en cuestión, la misma no debe ser entendida como comprendida en tal carácter debiendo haberse permitido el acceso a los curriculum solicitado por la recurrente. Los curriculum de los postulantes no se encuentran comprendidos dentro de los datos personales que requieren previo consentimiento informado para su divulgación, ya que de acuerdo con lo establecido por el Artículo 9 Literal D) de la Ley 18.331 no será  necesario el previo consentimiento informado cuando: deriven de una relación contractual, científica o profesional del titular de los datos, y sean necesarios para su desarrollo o cumplimiento. El TOCAF en su articulo 65  establece “no se considerarán confidenciales los precios y las descripciones de bienes y servicios ofertados y las condiciones generales de la oferta”, por lo cual en el entendido de que el objeto de la licitación comprende la prestación de un servicio personal, los curriculum de los postulantes se enmarcan en el concepto de descripción de servicios a que refiere la norma, razón por la cual no ha de considerarse como confidencial; </w:t>
      </w:r>
      <w:r>
        <w:rPr>
          <w:rFonts w:ascii="Arial" w:hAnsi="Arial" w:cs="Arial"/>
          <w:b/>
          <w:bCs/>
        </w:rPr>
        <w:t>IV)</w:t>
      </w:r>
      <w:r>
        <w:rPr>
          <w:rFonts w:ascii="Arial" w:hAnsi="Arial" w:cs="Arial"/>
        </w:rPr>
        <w:t xml:space="preserve"> El Tribunal como órgano con facultades atribuida</w:t>
      </w:r>
      <w:r w:rsidR="00994204">
        <w:rPr>
          <w:rFonts w:ascii="Arial" w:hAnsi="Arial" w:cs="Arial"/>
        </w:rPr>
        <w:t>s por la Constitución de la Repú</w:t>
      </w:r>
      <w:r>
        <w:rPr>
          <w:rFonts w:ascii="Arial" w:hAnsi="Arial" w:cs="Arial"/>
        </w:rPr>
        <w:t xml:space="preserve">blica, respecto de los gastos que son sometidos a su contralor, no es alcanzando por la confidencialidad, la reserva ni el secreto que la Ley establece </w:t>
      </w:r>
      <w:r>
        <w:rPr>
          <w:rFonts w:ascii="Arial" w:hAnsi="Arial" w:cs="Arial"/>
        </w:rPr>
        <w:lastRenderedPageBreak/>
        <w:t xml:space="preserve">por lo cual debe, en todo caso, presentarse la totalidad de la documentación, debiendo haberse agregado los curriculum de los postulantes; </w:t>
      </w:r>
    </w:p>
    <w:p w:rsidR="00C46063" w:rsidRDefault="00983569" w:rsidP="00F94A43">
      <w:pPr>
        <w:spacing w:line="360" w:lineRule="auto"/>
        <w:ind w:firstLine="2552"/>
        <w:jc w:val="both"/>
        <w:rPr>
          <w:rFonts w:ascii="Arial" w:hAnsi="Arial" w:cs="Arial"/>
          <w:bCs/>
          <w:lang w:val="es-ES_tradnl"/>
        </w:rPr>
      </w:pPr>
      <w:r>
        <w:rPr>
          <w:rFonts w:ascii="Arial" w:hAnsi="Arial" w:cs="Arial"/>
          <w:b/>
          <w:bCs/>
        </w:rPr>
        <w:t xml:space="preserve">3) </w:t>
      </w:r>
      <w:r>
        <w:rPr>
          <w:rFonts w:ascii="Arial" w:hAnsi="Arial" w:cs="Arial"/>
          <w:bCs/>
        </w:rPr>
        <w:t xml:space="preserve">que en esta oportunidad se remite Resolución, R/D Nº 1237/13, de fecha 18 de septiembre de 2013, por la que el Directorio de OSE reitera el gasto, en virtud de los siguientes considerandos: </w:t>
      </w:r>
      <w:r>
        <w:rPr>
          <w:rFonts w:ascii="Arial" w:hAnsi="Arial" w:cs="Arial"/>
          <w:b/>
        </w:rPr>
        <w:t>I)</w:t>
      </w:r>
      <w:r>
        <w:rPr>
          <w:rFonts w:ascii="Arial" w:hAnsi="Arial" w:cs="Arial"/>
          <w:bCs/>
        </w:rPr>
        <w:t xml:space="preserve"> el personal que ingresará por la presente licitación, se cubre con personal de una Licitación Abreviada cuyo crédito se agotaría en los próximos meses;</w:t>
      </w:r>
      <w:r>
        <w:rPr>
          <w:rFonts w:ascii="Arial" w:hAnsi="Arial" w:cs="Arial"/>
          <w:b/>
        </w:rPr>
        <w:t xml:space="preserve"> II) </w:t>
      </w:r>
      <w:r>
        <w:rPr>
          <w:rFonts w:ascii="Arial" w:hAnsi="Arial" w:cs="Arial"/>
          <w:bCs/>
        </w:rPr>
        <w:t xml:space="preserve">las funciones que cumplen las personas contratadas por la Licitación Abreviada referida y que se pasarán a cubrir con los recursos de esta Licitación, tienen relación con la Registración, Análisis Comercial y Verificación de Servicios de Agua, las que resultan de gran importancia para el Organismo, siendo su necesidad inaplazable; </w:t>
      </w:r>
      <w:r>
        <w:rPr>
          <w:rFonts w:ascii="Arial" w:hAnsi="Arial" w:cs="Arial"/>
          <w:b/>
        </w:rPr>
        <w:t>III)</w:t>
      </w:r>
      <w:r>
        <w:rPr>
          <w:rFonts w:ascii="Arial" w:hAnsi="Arial" w:cs="Arial"/>
          <w:bCs/>
        </w:rPr>
        <w:t xml:space="preserve"> de la lectura de los artículos 8.1 a 8.5 del Pliego, existe una forma detallada y objetiva de evaluar las ofertas; </w:t>
      </w:r>
      <w:r>
        <w:rPr>
          <w:rFonts w:ascii="Arial" w:hAnsi="Arial" w:cs="Arial"/>
          <w:b/>
        </w:rPr>
        <w:t>IV)</w:t>
      </w:r>
      <w:r>
        <w:rPr>
          <w:rFonts w:ascii="Arial" w:hAnsi="Arial" w:cs="Arial"/>
          <w:bCs/>
        </w:rPr>
        <w:t xml:space="preserve"> surge del expediente que la calificación de las ofertas y recomendación de adjudicación, por parte de la Comisión Asesora se realizó estrictamente sobre la base de la Calificación Final, compuesta por la Calificación Técnica y la Calificación Económica, cuya forma de puntuación se encontraba prevista en forma taxativa y objetiva en los artículos 8.1 a 8.5 del Pliego; </w:t>
      </w:r>
      <w:r>
        <w:rPr>
          <w:rFonts w:ascii="Arial" w:hAnsi="Arial" w:cs="Arial"/>
          <w:b/>
        </w:rPr>
        <w:t>V)</w:t>
      </w:r>
      <w:r>
        <w:rPr>
          <w:rFonts w:ascii="Arial" w:hAnsi="Arial" w:cs="Arial"/>
          <w:bCs/>
        </w:rPr>
        <w:t xml:space="preserve">  la observación relativa al momento en el cual se procede a la apertura de los CV de la adjudicataria no tiene razón con un error en el procedimiento, o una posible contravención a una norma o al principio de igualdad de los oferentes, sino con una recomendación relativa a buena administración y razonabilidad, debiéndose tener presente que si existieran apartamientos que hubieran modificado la calificación final, la Administración procedería a dejar sin efecto la adjudicación y además a aplicar al oferente infractor la sanción establecida en el artículo 5.6 del Pliego; </w:t>
      </w:r>
      <w:r>
        <w:rPr>
          <w:rFonts w:ascii="Arial" w:hAnsi="Arial" w:cs="Arial"/>
          <w:b/>
        </w:rPr>
        <w:t>VI)</w:t>
      </w:r>
      <w:r>
        <w:rPr>
          <w:rFonts w:ascii="Arial" w:hAnsi="Arial" w:cs="Arial"/>
          <w:bCs/>
        </w:rPr>
        <w:t xml:space="preserve"> en relación a la confidencialidad de los CV, cabe destacar que el artículo 5.2 del Pliego, dispone que los mismos serán para “uso confidencial de la Administración”, debiéndose tener presente que el Pliego que contenía esta previsión de confidencialidad fue aprobado por el Directorio del Organismo </w:t>
      </w:r>
      <w:r>
        <w:rPr>
          <w:rFonts w:ascii="Arial" w:hAnsi="Arial" w:cs="Arial"/>
          <w:bCs/>
        </w:rPr>
        <w:lastRenderedPageBreak/>
        <w:t xml:space="preserve">mediante la R/D Nº 1883/11 de fecha 14/12/11, sin que ninguno de los interesados en la Licitación u oferentes impugnara el referido Pliego; </w:t>
      </w:r>
      <w:r>
        <w:rPr>
          <w:rFonts w:ascii="Arial" w:hAnsi="Arial" w:cs="Arial"/>
          <w:b/>
        </w:rPr>
        <w:t>VII)</w:t>
      </w:r>
      <w:r>
        <w:rPr>
          <w:rFonts w:ascii="Arial" w:hAnsi="Arial" w:cs="Arial"/>
          <w:bCs/>
        </w:rPr>
        <w:t xml:space="preserve"> si bien los CV fueron establecidos como confidenciales, se adjuntaron al expediente los CV de la empresa adjudicataria, a los efectos de que puedan ser contrastados por cualquier oferente con la planilla Anexo II presentada por quien finalmente resultó adjudicatario;  </w:t>
      </w:r>
    </w:p>
    <w:p w:rsidR="00C46063" w:rsidRDefault="00983569" w:rsidP="00994204">
      <w:pPr>
        <w:spacing w:line="360" w:lineRule="auto"/>
        <w:ind w:firstLine="708"/>
        <w:jc w:val="both"/>
        <w:rPr>
          <w:rFonts w:ascii="Arial" w:hAnsi="Arial" w:cs="Arial"/>
        </w:rPr>
      </w:pPr>
      <w:r>
        <w:rPr>
          <w:rFonts w:ascii="Arial" w:hAnsi="Arial" w:cs="Arial"/>
          <w:b/>
          <w:lang w:val="es-MX"/>
        </w:rPr>
        <w:t>CONSIDERANDO</w:t>
      </w:r>
      <w:r w:rsidRPr="00F94A43">
        <w:rPr>
          <w:rFonts w:ascii="Arial" w:hAnsi="Arial" w:cs="Arial"/>
          <w:b/>
          <w:lang w:val="es-MX"/>
        </w:rPr>
        <w:t>:</w:t>
      </w:r>
      <w:r>
        <w:rPr>
          <w:rFonts w:ascii="Arial" w:hAnsi="Arial" w:cs="Arial"/>
          <w:lang w:val="es-MX"/>
        </w:rPr>
        <w:t xml:space="preserve"> </w:t>
      </w:r>
      <w:r>
        <w:rPr>
          <w:rFonts w:ascii="Arial" w:hAnsi="Arial" w:cs="Arial"/>
          <w:b/>
          <w:lang w:val="es-MX"/>
        </w:rPr>
        <w:t>1)</w:t>
      </w:r>
      <w:r>
        <w:rPr>
          <w:rFonts w:ascii="Arial" w:hAnsi="Arial" w:cs="Arial"/>
          <w:lang w:val="es-MX"/>
        </w:rPr>
        <w:t xml:space="preserve"> que en referencia a la </w:t>
      </w:r>
      <w:r>
        <w:rPr>
          <w:rFonts w:ascii="Arial" w:hAnsi="Arial" w:cs="Arial"/>
        </w:rPr>
        <w:t>observación relativa al momento en el cual se procedió a la apertura de los currículos vitae, este Tribunal no efectuó una recomendación relativa a buena administración y razonabilidad, tal como afirma la Administración, sino que observó el gasto en razón de que se vulneraron los principios de buena administración</w:t>
      </w:r>
      <w:r w:rsidR="00994204">
        <w:rPr>
          <w:rFonts w:ascii="Arial" w:hAnsi="Arial" w:cs="Arial"/>
        </w:rPr>
        <w:t xml:space="preserve"> (de raigambre constitucional, A</w:t>
      </w:r>
      <w:r>
        <w:rPr>
          <w:rFonts w:ascii="Arial" w:hAnsi="Arial" w:cs="Arial"/>
        </w:rPr>
        <w:t xml:space="preserve">rtículos 72 y 311 </w:t>
      </w:r>
      <w:r w:rsidR="00994204">
        <w:rPr>
          <w:rFonts w:ascii="Arial" w:hAnsi="Arial" w:cs="Arial"/>
        </w:rPr>
        <w:t>I</w:t>
      </w:r>
      <w:r>
        <w:rPr>
          <w:rFonts w:ascii="Arial" w:hAnsi="Arial" w:cs="Arial"/>
        </w:rPr>
        <w:t>nc</w:t>
      </w:r>
      <w:r w:rsidR="00994204">
        <w:rPr>
          <w:rFonts w:ascii="Arial" w:hAnsi="Arial" w:cs="Arial"/>
        </w:rPr>
        <w:t xml:space="preserve">iso </w:t>
      </w:r>
      <w:r>
        <w:rPr>
          <w:rFonts w:ascii="Arial" w:hAnsi="Arial" w:cs="Arial"/>
        </w:rPr>
        <w:t>2</w:t>
      </w:r>
      <w:r w:rsidR="00994204">
        <w:rPr>
          <w:rFonts w:ascii="Arial" w:hAnsi="Arial" w:cs="Arial"/>
        </w:rPr>
        <w:t>)</w:t>
      </w:r>
      <w:r>
        <w:rPr>
          <w:rFonts w:ascii="Arial" w:hAnsi="Arial" w:cs="Arial"/>
        </w:rPr>
        <w:t xml:space="preserve"> de la Carta) y de razonabilidad, éste último implícitamente comprendido en el primero y consagrado a texto expreso en el </w:t>
      </w:r>
      <w:r w:rsidR="00994204">
        <w:rPr>
          <w:rFonts w:ascii="Arial" w:hAnsi="Arial" w:cs="Arial"/>
        </w:rPr>
        <w:t>A</w:t>
      </w:r>
      <w:r>
        <w:rPr>
          <w:rFonts w:ascii="Arial" w:hAnsi="Arial" w:cs="Arial"/>
        </w:rPr>
        <w:t>rtículo 149 del TOCAF;</w:t>
      </w:r>
    </w:p>
    <w:p w:rsidR="00C46063" w:rsidRDefault="00F94A43" w:rsidP="00F94A43">
      <w:pPr>
        <w:spacing w:line="360" w:lineRule="auto"/>
        <w:ind w:firstLine="2835"/>
        <w:jc w:val="both"/>
        <w:rPr>
          <w:rFonts w:ascii="Arial" w:hAnsi="Arial" w:cs="Arial"/>
          <w:color w:val="000000"/>
          <w:lang w:eastAsia="es-UY"/>
        </w:rPr>
      </w:pPr>
      <w:r>
        <w:rPr>
          <w:rFonts w:ascii="Arial" w:hAnsi="Arial" w:cs="Arial"/>
          <w:b/>
        </w:rPr>
        <w:t xml:space="preserve"> </w:t>
      </w:r>
      <w:r w:rsidR="00983569">
        <w:rPr>
          <w:rFonts w:ascii="Arial" w:hAnsi="Arial" w:cs="Arial"/>
          <w:b/>
        </w:rPr>
        <w:t xml:space="preserve">2) </w:t>
      </w:r>
      <w:r w:rsidR="00983569">
        <w:rPr>
          <w:rFonts w:ascii="Arial" w:hAnsi="Arial" w:cs="Arial"/>
        </w:rPr>
        <w:t xml:space="preserve">que en lo referente a la confidencialidad de los currículos vitae, la circunstancia de que el Pliego que rigió el llamado fue aprobado por Resolución del Directorio, no enerva lo preceptuado por el artículo 31 del Decreto 232/010 reglamentario de la Ley Nº 18.381 (Derecho al Acceso a la Información Pública) el cual exige que </w:t>
      </w:r>
      <w:r w:rsidR="00983569">
        <w:rPr>
          <w:rFonts w:ascii="Arial" w:hAnsi="Arial" w:cs="Arial"/>
          <w:i/>
          <w:iCs/>
        </w:rPr>
        <w:t>“para que la información pueda ser clasificada como confidencial se requerirá resolución fundada de la autoridad administrativa competente”</w:t>
      </w:r>
      <w:r w:rsidR="00983569">
        <w:rPr>
          <w:rFonts w:ascii="Arial" w:hAnsi="Arial" w:cs="Arial"/>
          <w:iCs/>
        </w:rPr>
        <w:t xml:space="preserve">, siendo que en el caso, la referida resolución </w:t>
      </w:r>
      <w:r w:rsidR="00983569">
        <w:rPr>
          <w:rFonts w:ascii="Arial" w:hAnsi="Arial" w:cs="Arial"/>
        </w:rPr>
        <w:t xml:space="preserve">no fundamentó la confidencialidad consagrada, no exteriorizando </w:t>
      </w:r>
      <w:r w:rsidR="00983569">
        <w:rPr>
          <w:rFonts w:ascii="Arial" w:hAnsi="Arial" w:cs="Arial"/>
          <w:color w:val="000000"/>
          <w:lang w:eastAsia="es-UY"/>
        </w:rPr>
        <w:t>los motivos que llevaron a establecer que para el caso concreto, se justificaba la decisión adoptada;</w:t>
      </w:r>
    </w:p>
    <w:p w:rsidR="00C46063" w:rsidRDefault="00F94A43" w:rsidP="00F94A43">
      <w:pPr>
        <w:spacing w:line="360" w:lineRule="auto"/>
        <w:ind w:firstLine="2835"/>
        <w:jc w:val="both"/>
        <w:rPr>
          <w:rFonts w:ascii="Arial" w:hAnsi="Arial" w:cs="Arial"/>
          <w:color w:val="000000"/>
          <w:lang w:eastAsia="es-UY"/>
        </w:rPr>
      </w:pPr>
      <w:r>
        <w:rPr>
          <w:rFonts w:ascii="Arial" w:hAnsi="Arial" w:cs="Arial"/>
          <w:b/>
          <w:color w:val="000000"/>
          <w:lang w:eastAsia="es-UY"/>
        </w:rPr>
        <w:t xml:space="preserve"> </w:t>
      </w:r>
      <w:r w:rsidR="00983569">
        <w:rPr>
          <w:rFonts w:ascii="Arial" w:hAnsi="Arial" w:cs="Arial"/>
          <w:b/>
          <w:color w:val="000000"/>
          <w:lang w:eastAsia="es-UY"/>
        </w:rPr>
        <w:t>3)</w:t>
      </w:r>
      <w:r w:rsidR="00983569">
        <w:rPr>
          <w:rFonts w:ascii="Arial" w:hAnsi="Arial" w:cs="Arial"/>
          <w:color w:val="000000"/>
          <w:lang w:eastAsia="es-UY"/>
        </w:rPr>
        <w:t xml:space="preserve"> que la circunstancia de que </w:t>
      </w:r>
      <w:r w:rsidR="00983569">
        <w:rPr>
          <w:rFonts w:ascii="Arial" w:hAnsi="Arial" w:cs="Arial"/>
        </w:rPr>
        <w:t xml:space="preserve">ninguno de los interesados u oferentes impugnara la cláusula de confidencialidad estipulada en las bases del llamado no legitima </w:t>
      </w:r>
      <w:r w:rsidR="00983569">
        <w:rPr>
          <w:rFonts w:ascii="Arial" w:hAnsi="Arial" w:cs="Arial"/>
          <w:color w:val="000000"/>
          <w:lang w:eastAsia="es-UY"/>
        </w:rPr>
        <w:t xml:space="preserve">el actuar de la Administración, el que debe ceñirse al principio de legalidad; </w:t>
      </w:r>
    </w:p>
    <w:p w:rsidR="00C46063" w:rsidRDefault="00F94A43" w:rsidP="00F94A43">
      <w:pPr>
        <w:spacing w:line="360" w:lineRule="auto"/>
        <w:ind w:firstLine="2835"/>
        <w:jc w:val="both"/>
        <w:rPr>
          <w:rFonts w:ascii="Arial" w:hAnsi="Arial" w:cs="Arial"/>
        </w:rPr>
      </w:pPr>
      <w:r>
        <w:rPr>
          <w:rFonts w:ascii="Arial" w:hAnsi="Arial" w:cs="Arial"/>
          <w:b/>
        </w:rPr>
        <w:lastRenderedPageBreak/>
        <w:t xml:space="preserve"> </w:t>
      </w:r>
      <w:r w:rsidR="00983569">
        <w:rPr>
          <w:rFonts w:ascii="Arial" w:hAnsi="Arial" w:cs="Arial"/>
          <w:b/>
        </w:rPr>
        <w:t xml:space="preserve">4) </w:t>
      </w:r>
      <w:r w:rsidR="00983569">
        <w:rPr>
          <w:rFonts w:ascii="Arial" w:hAnsi="Arial" w:cs="Arial"/>
        </w:rPr>
        <w:t xml:space="preserve">que sin perjuicio de lo establecido, tal como acordó este Tribunal en su Resolución de fecha 29/5/13, conforme con la normativa vigente, tal información no era pasible de ser clasificada como confidencial; </w:t>
      </w:r>
    </w:p>
    <w:p w:rsidR="00C46063" w:rsidRDefault="00F94A43" w:rsidP="00983569">
      <w:pPr>
        <w:spacing w:line="360" w:lineRule="auto"/>
        <w:ind w:firstLine="2835"/>
        <w:jc w:val="both"/>
        <w:rPr>
          <w:rFonts w:ascii="Arial" w:hAnsi="Arial" w:cs="Arial"/>
          <w:lang w:val="es-MX"/>
        </w:rPr>
      </w:pPr>
      <w:r>
        <w:rPr>
          <w:rFonts w:ascii="Arial" w:hAnsi="Arial" w:cs="Arial"/>
          <w:b/>
        </w:rPr>
        <w:t xml:space="preserve"> </w:t>
      </w:r>
      <w:r w:rsidR="00983569">
        <w:rPr>
          <w:rFonts w:ascii="Arial" w:hAnsi="Arial" w:cs="Arial"/>
          <w:b/>
        </w:rPr>
        <w:t>5</w:t>
      </w:r>
      <w:r w:rsidR="00983569">
        <w:rPr>
          <w:rFonts w:ascii="Arial" w:hAnsi="Arial" w:cs="Arial"/>
          <w:b/>
          <w:lang w:val="es-MX"/>
        </w:rPr>
        <w:t>)</w:t>
      </w:r>
      <w:r w:rsidR="00983569">
        <w:rPr>
          <w:rFonts w:ascii="Arial" w:hAnsi="Arial" w:cs="Arial"/>
          <w:lang w:val="es-MX"/>
        </w:rPr>
        <w:t xml:space="preserve"> que más allá de lo manifestado en la oportunidad, hubo otras causales de observación que recayeron sobre el presente procedimiento;</w:t>
      </w:r>
    </w:p>
    <w:p w:rsidR="00C46063" w:rsidRDefault="00F94A43" w:rsidP="00983569">
      <w:pPr>
        <w:spacing w:line="360" w:lineRule="auto"/>
        <w:ind w:firstLine="2835"/>
        <w:jc w:val="both"/>
        <w:rPr>
          <w:rFonts w:ascii="Arial" w:hAnsi="Arial" w:cs="Arial"/>
          <w:lang w:val="es-MX"/>
        </w:rPr>
      </w:pPr>
      <w:r>
        <w:rPr>
          <w:rFonts w:ascii="Arial" w:hAnsi="Arial" w:cs="Arial"/>
          <w:b/>
          <w:lang w:val="es-MX"/>
        </w:rPr>
        <w:t xml:space="preserve"> </w:t>
      </w:r>
      <w:r w:rsidR="00983569">
        <w:rPr>
          <w:rFonts w:ascii="Arial" w:hAnsi="Arial" w:cs="Arial"/>
          <w:b/>
          <w:lang w:val="es-MX"/>
        </w:rPr>
        <w:t xml:space="preserve">6) </w:t>
      </w:r>
      <w:r w:rsidR="00983569">
        <w:rPr>
          <w:rFonts w:ascii="Arial" w:hAnsi="Arial" w:cs="Arial"/>
          <w:lang w:val="es-MX"/>
        </w:rPr>
        <w:t>que sin perjuicio de la argumentación esgrimida, a excepción de la causal relativa a la no remisión de los currículos vitae a este Tribunal se mantienen incambiadas las restantes causales que motivaron la observación oportunamente efectuada;</w:t>
      </w:r>
    </w:p>
    <w:p w:rsidR="00C46063" w:rsidRDefault="00983569" w:rsidP="00983569">
      <w:pPr>
        <w:spacing w:line="360" w:lineRule="auto"/>
        <w:ind w:firstLine="708"/>
        <w:jc w:val="both"/>
        <w:rPr>
          <w:rFonts w:ascii="Arial" w:hAnsi="Arial" w:cs="Arial"/>
          <w:lang w:val="es-MX"/>
        </w:rPr>
      </w:pPr>
      <w:r>
        <w:rPr>
          <w:rFonts w:ascii="Arial" w:hAnsi="Arial" w:cs="Arial"/>
          <w:b/>
          <w:lang w:val="es-MX"/>
        </w:rPr>
        <w:t>ATENTO:</w:t>
      </w:r>
      <w:r>
        <w:rPr>
          <w:rFonts w:ascii="Arial" w:hAnsi="Arial" w:cs="Arial"/>
          <w:lang w:val="es-MX"/>
        </w:rPr>
        <w:t xml:space="preserve"> a lo expresado y a lo dispuesto por el Artículo  211 Literal B) de la Constitución de la República;</w:t>
      </w:r>
    </w:p>
    <w:p w:rsidR="00C46063" w:rsidRDefault="00983569">
      <w:pPr>
        <w:spacing w:line="360" w:lineRule="auto"/>
        <w:jc w:val="both"/>
        <w:rPr>
          <w:rFonts w:ascii="Arial" w:hAnsi="Arial" w:cs="Arial"/>
          <w:b/>
          <w:lang w:val="es-MX"/>
        </w:rPr>
      </w:pPr>
      <w:r>
        <w:rPr>
          <w:rFonts w:ascii="Arial" w:hAnsi="Arial" w:cs="Arial"/>
          <w:lang w:val="es-MX"/>
        </w:rPr>
        <w:t xml:space="preserve">                                                 </w:t>
      </w:r>
      <w:r>
        <w:rPr>
          <w:rFonts w:ascii="Arial" w:hAnsi="Arial" w:cs="Arial"/>
          <w:b/>
          <w:lang w:val="es-MX"/>
        </w:rPr>
        <w:t>EL TRIBUNAL ACUERDA</w:t>
      </w:r>
    </w:p>
    <w:p w:rsidR="00C46063" w:rsidRDefault="00983569" w:rsidP="00983569">
      <w:pPr>
        <w:pStyle w:val="Ttulo9"/>
        <w:ind w:left="0" w:firstLine="0"/>
        <w:rPr>
          <w:rFonts w:cs="Arial"/>
          <w:b w:val="0"/>
          <w:bCs w:val="0"/>
        </w:rPr>
      </w:pPr>
      <w:r>
        <w:rPr>
          <w:rFonts w:cs="Arial"/>
          <w:lang w:val="es-MX"/>
        </w:rPr>
        <w:t xml:space="preserve">1)  </w:t>
      </w:r>
      <w:r>
        <w:rPr>
          <w:rFonts w:cs="Arial"/>
          <w:b w:val="0"/>
          <w:bCs w:val="0"/>
        </w:rPr>
        <w:t>Mantener la observación formulada con fecha 29 de mayo de 2013;</w:t>
      </w:r>
    </w:p>
    <w:p w:rsidR="00C46063" w:rsidRDefault="00983569" w:rsidP="00983569">
      <w:pPr>
        <w:pStyle w:val="Ttulo7"/>
        <w:ind w:left="284" w:hanging="284"/>
        <w:rPr>
          <w:rFonts w:cs="Arial"/>
        </w:rPr>
      </w:pPr>
      <w:r w:rsidRPr="00983569">
        <w:rPr>
          <w:rFonts w:cs="Arial"/>
          <w:b/>
        </w:rPr>
        <w:t>2)</w:t>
      </w:r>
      <w:r>
        <w:rPr>
          <w:rFonts w:cs="Arial"/>
        </w:rPr>
        <w:t xml:space="preserve">  Comunicar  al Poder Ejecutivo, a la Administración actuante y al Contador Delegado; y</w:t>
      </w:r>
    </w:p>
    <w:p w:rsidR="00983569" w:rsidRDefault="00983569" w:rsidP="00983569">
      <w:pPr>
        <w:rPr>
          <w:rFonts w:ascii="Arial" w:hAnsi="Arial" w:cs="Arial"/>
        </w:rPr>
      </w:pPr>
      <w:r>
        <w:rPr>
          <w:rFonts w:ascii="Arial" w:hAnsi="Arial" w:cs="Arial"/>
          <w:b/>
          <w:spacing w:val="-3"/>
          <w:szCs w:val="20"/>
          <w:lang w:val="es-ES_tradnl"/>
        </w:rPr>
        <w:t xml:space="preserve">3) </w:t>
      </w:r>
      <w:r w:rsidRPr="00983569">
        <w:rPr>
          <w:rFonts w:ascii="Arial" w:hAnsi="Arial" w:cs="Arial"/>
        </w:rPr>
        <w:t>Dar</w:t>
      </w:r>
      <w:r>
        <w:rPr>
          <w:rFonts w:ascii="Arial" w:hAnsi="Arial" w:cs="Arial"/>
        </w:rPr>
        <w:t xml:space="preserve"> cuenta a la Asamblea General.</w:t>
      </w:r>
    </w:p>
    <w:p w:rsidR="00C46063" w:rsidRPr="00F94A43" w:rsidRDefault="00983569" w:rsidP="00F94A43">
      <w:pPr>
        <w:rPr>
          <w:lang w:val="es-ES_tradnl"/>
        </w:rPr>
      </w:pPr>
      <w:proofErr w:type="spellStart"/>
      <w:proofErr w:type="gramStart"/>
      <w:r>
        <w:rPr>
          <w:rFonts w:ascii="Arial" w:hAnsi="Arial" w:cs="Arial"/>
        </w:rPr>
        <w:t>cr</w:t>
      </w:r>
      <w:proofErr w:type="spellEnd"/>
      <w:proofErr w:type="gramEnd"/>
    </w:p>
    <w:sectPr w:rsidR="00C46063" w:rsidRPr="00F94A43" w:rsidSect="00994204">
      <w:footerReference w:type="even" r:id="rId8"/>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3CB" w:rsidRDefault="00F873CB">
      <w:r>
        <w:separator/>
      </w:r>
    </w:p>
  </w:endnote>
  <w:endnote w:type="continuationSeparator" w:id="0">
    <w:p w:rsidR="00F873CB" w:rsidRDefault="00F8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3CB" w:rsidRDefault="00F873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873CB" w:rsidRDefault="00F873C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3CB" w:rsidRDefault="00F873CB">
      <w:r>
        <w:separator/>
      </w:r>
    </w:p>
  </w:footnote>
  <w:footnote w:type="continuationSeparator" w:id="0">
    <w:p w:rsidR="00F873CB" w:rsidRDefault="00F87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7D6C"/>
    <w:multiLevelType w:val="hybridMultilevel"/>
    <w:tmpl w:val="7848FF96"/>
    <w:lvl w:ilvl="0" w:tplc="FE84C60C">
      <w:start w:val="1"/>
      <w:numFmt w:val="decimal"/>
      <w:lvlText w:val="%1)"/>
      <w:lvlJc w:val="left"/>
      <w:pPr>
        <w:tabs>
          <w:tab w:val="num" w:pos="735"/>
        </w:tabs>
        <w:ind w:left="73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49F"/>
    <w:rsid w:val="007F349F"/>
    <w:rsid w:val="00983569"/>
    <w:rsid w:val="00994204"/>
    <w:rsid w:val="00A53C82"/>
    <w:rsid w:val="00AC1DF3"/>
    <w:rsid w:val="00C46063"/>
    <w:rsid w:val="00F873CB"/>
    <w:rsid w:val="00F94A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ind w:left="360"/>
      <w:outlineLvl w:val="0"/>
    </w:pPr>
    <w:rPr>
      <w:rFonts w:ascii="Arial" w:eastAsia="Arial Unicode MS" w:hAnsi="Arial" w:cs="Arial"/>
      <w:i/>
      <w:iCs/>
      <w:lang w:val="es-MX"/>
    </w:rPr>
  </w:style>
  <w:style w:type="paragraph" w:styleId="Ttulo2">
    <w:name w:val="heading 2"/>
    <w:basedOn w:val="Normal"/>
    <w:next w:val="Normal"/>
    <w:qFormat/>
    <w:pPr>
      <w:keepNext/>
      <w:outlineLvl w:val="1"/>
    </w:pPr>
    <w:rPr>
      <w:rFonts w:ascii="Arial" w:eastAsia="Arial Unicode MS" w:hAnsi="Arial"/>
      <w:b/>
      <w:bCs/>
      <w:szCs w:val="20"/>
      <w:lang w:val="es-MX"/>
    </w:rPr>
  </w:style>
  <w:style w:type="paragraph" w:styleId="Ttulo3">
    <w:name w:val="heading 3"/>
    <w:basedOn w:val="Normal"/>
    <w:next w:val="Normal"/>
    <w:qFormat/>
    <w:pPr>
      <w:keepNext/>
      <w:spacing w:line="360" w:lineRule="auto"/>
      <w:outlineLvl w:val="2"/>
    </w:pPr>
    <w:rPr>
      <w:rFonts w:ascii="Arial" w:eastAsia="Arial Unicode MS" w:hAnsi="Arial" w:cs="Arial"/>
      <w:i/>
      <w:iCs/>
    </w:rPr>
  </w:style>
  <w:style w:type="paragraph" w:styleId="Ttulo7">
    <w:name w:val="heading 7"/>
    <w:basedOn w:val="Normal"/>
    <w:next w:val="Normal"/>
    <w:qFormat/>
    <w:pPr>
      <w:keepNext/>
      <w:widowControl w:val="0"/>
      <w:suppressAutoHyphens/>
      <w:snapToGrid w:val="0"/>
      <w:spacing w:line="360" w:lineRule="auto"/>
      <w:ind w:right="284"/>
      <w:jc w:val="both"/>
      <w:outlineLvl w:val="6"/>
    </w:pPr>
    <w:rPr>
      <w:rFonts w:ascii="Arial" w:hAnsi="Arial"/>
      <w:spacing w:val="-3"/>
      <w:szCs w:val="20"/>
      <w:lang w:val="es-ES_tradnl"/>
    </w:rPr>
  </w:style>
  <w:style w:type="paragraph" w:styleId="Ttulo9">
    <w:name w:val="heading 9"/>
    <w:basedOn w:val="Normal"/>
    <w:next w:val="Normal"/>
    <w:qFormat/>
    <w:pPr>
      <w:keepNext/>
      <w:widowControl w:val="0"/>
      <w:suppressAutoHyphens/>
      <w:spacing w:line="360" w:lineRule="auto"/>
      <w:ind w:left="1440" w:right="284" w:firstLine="720"/>
      <w:jc w:val="both"/>
      <w:outlineLvl w:val="8"/>
    </w:pPr>
    <w:rPr>
      <w:rFonts w:ascii="Arial" w:hAnsi="Arial"/>
      <w:b/>
      <w:bCs/>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rPr>
      <w:rFonts w:ascii="Arial Black" w:hAnsi="Arial Black"/>
      <w:szCs w:val="20"/>
      <w:effect w:val="antsRed"/>
    </w:rPr>
  </w:style>
  <w:style w:type="character" w:styleId="Nmerodepgina">
    <w:name w:val="page number"/>
    <w:basedOn w:val="Fuentedeprrafopredeter"/>
    <w:semiHidden/>
  </w:style>
  <w:style w:type="paragraph" w:styleId="Encabezado">
    <w:name w:val="header"/>
    <w:basedOn w:val="Normal"/>
    <w:link w:val="EncabezadoCar"/>
    <w:uiPriority w:val="99"/>
    <w:unhideWhenUsed/>
    <w:rsid w:val="00994204"/>
    <w:pPr>
      <w:tabs>
        <w:tab w:val="center" w:pos="4252"/>
        <w:tab w:val="right" w:pos="8504"/>
      </w:tabs>
    </w:pPr>
  </w:style>
  <w:style w:type="character" w:customStyle="1" w:styleId="EncabezadoCar">
    <w:name w:val="Encabezado Car"/>
    <w:basedOn w:val="Fuentedeprrafopredeter"/>
    <w:link w:val="Encabezado"/>
    <w:uiPriority w:val="99"/>
    <w:rsid w:val="00994204"/>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1406</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CARPETA  N°: 2013-17-1-0002101</vt:lpstr>
    </vt:vector>
  </TitlesOfParts>
  <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2013-17-1-0002101</dc:title>
  <dc:subject/>
  <dc:creator>29706655</dc:creator>
  <cp:keywords/>
  <dc:description/>
  <cp:lastModifiedBy> </cp:lastModifiedBy>
  <cp:revision>4</cp:revision>
  <cp:lastPrinted>2013-11-19T17:20:00Z</cp:lastPrinted>
  <dcterms:created xsi:type="dcterms:W3CDTF">2013-11-19T17:20:00Z</dcterms:created>
  <dcterms:modified xsi:type="dcterms:W3CDTF">2013-12-06T19:09:00Z</dcterms:modified>
</cp:coreProperties>
</file>