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C4" w:rsidRDefault="00E706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E706C4" w:rsidRDefault="00E706C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706C4" w:rsidRDefault="00E706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706C4" w:rsidRDefault="00E706C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706C4" w:rsidRDefault="00E706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13 DE </w:t>
      </w:r>
      <w:r>
        <w:rPr>
          <w:rFonts w:ascii="Helvetica" w:hAnsi="Helvetica"/>
          <w:b/>
          <w:lang w:val="es-ES_tradnl"/>
        </w:rPr>
        <w:tab/>
        <w:t>NOVIEMBRE DE 2013</w:t>
      </w:r>
    </w:p>
    <w:p w:rsidR="00E706C4" w:rsidRDefault="00E706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706C4" w:rsidRDefault="00E706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706C4">
        <w:rPr>
          <w:rFonts w:ascii="Helvetica" w:hAnsi="Helvetica"/>
          <w:b/>
          <w:lang w:val="es-UY"/>
        </w:rPr>
        <w:t xml:space="preserve">(E. E. Nº 2013-17-1-0005691, </w:t>
      </w:r>
      <w:proofErr w:type="spellStart"/>
      <w:r w:rsidRPr="00E706C4">
        <w:rPr>
          <w:rFonts w:ascii="Helvetica" w:hAnsi="Helvetica"/>
          <w:b/>
          <w:lang w:val="es-UY"/>
        </w:rPr>
        <w:t>Ent</w:t>
      </w:r>
      <w:proofErr w:type="spellEnd"/>
      <w:r w:rsidRPr="00E706C4">
        <w:rPr>
          <w:rFonts w:ascii="Helvetica" w:hAnsi="Helvetica"/>
          <w:b/>
          <w:lang w:val="es-UY"/>
        </w:rPr>
        <w:t>. N° 6090/13)</w:t>
      </w:r>
    </w:p>
    <w:p w:rsidR="00BE6D86" w:rsidRPr="00E706C4" w:rsidRDefault="00BE6D8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E706C4" w:rsidRPr="00E706C4" w:rsidRDefault="00E706C4">
      <w:pPr>
        <w:tabs>
          <w:tab w:val="center" w:pos="4253"/>
        </w:tabs>
        <w:suppressAutoHyphens/>
        <w:rPr>
          <w:spacing w:val="-3"/>
          <w:lang w:val="es-UY"/>
        </w:rPr>
      </w:pPr>
    </w:p>
    <w:p w:rsidR="008A2F5D" w:rsidRDefault="00DF02A7" w:rsidP="00BE6D86">
      <w:pPr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bCs/>
          <w:lang w:val="es-ES_tradnl"/>
        </w:rPr>
        <w:t>VISTO:</w:t>
      </w:r>
      <w:r>
        <w:rPr>
          <w:rFonts w:cs="Arial"/>
          <w:lang w:val="es-ES_tradnl"/>
        </w:rPr>
        <w:t xml:space="preserve"> estas actuaciones remitidas por el Banco de Seguros del Estado, relacionadas con la reiteración del gasto emergente de la incorporación </w:t>
      </w:r>
      <w:r w:rsidRPr="00E706C4">
        <w:rPr>
          <w:rFonts w:cs="Arial"/>
          <w:spacing w:val="-8"/>
          <w:lang w:val="es-ES_tradnl"/>
        </w:rPr>
        <w:t>al Ente de un total de veintinueve ex empleados del Banco Bandes Uruguay</w:t>
      </w:r>
      <w:r>
        <w:rPr>
          <w:rFonts w:cs="Arial"/>
          <w:lang w:val="es-ES_tradnl"/>
        </w:rPr>
        <w:t xml:space="preserve"> S.A.;</w:t>
      </w:r>
    </w:p>
    <w:p w:rsidR="008A2F5D" w:rsidRDefault="00DF02A7" w:rsidP="00BE6D86">
      <w:pPr>
        <w:pStyle w:val="Textoindependiente"/>
        <w:ind w:firstLine="851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MX"/>
        </w:rPr>
        <w:t xml:space="preserve">que la Contadora Delegada en el Banco de Seguros del Estado procedió a comunicar a este Tribunal la reiteración del gasto </w:t>
      </w:r>
      <w:r w:rsidRPr="00E706C4">
        <w:rPr>
          <w:rFonts w:ascii="Arial" w:hAnsi="Arial" w:cs="Arial"/>
          <w:spacing w:val="8"/>
          <w:lang w:val="es-MX"/>
        </w:rPr>
        <w:t>derivado de la aplicación de las Resoluciones Nº 578/13 de fecha 31.07.13 y Nº</w:t>
      </w:r>
      <w:r>
        <w:rPr>
          <w:rFonts w:ascii="Arial" w:hAnsi="Arial" w:cs="Arial"/>
          <w:lang w:val="es-MX"/>
        </w:rPr>
        <w:t xml:space="preserve"> 673/13 de fecha 04.09.13, las que dispusieron el ingreso al Ente de diecisiete y doce funcionarios respectivamente, ex empleados del Banco Bandes Uruguay S.A;</w:t>
      </w:r>
    </w:p>
    <w:p w:rsidR="008A2F5D" w:rsidRDefault="00DF02A7" w:rsidP="00BE6D86">
      <w:pPr>
        <w:pStyle w:val="Textoindependiente"/>
        <w:ind w:firstLine="283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2)  </w:t>
      </w:r>
      <w:r>
        <w:rPr>
          <w:rFonts w:ascii="Arial" w:hAnsi="Arial" w:cs="Arial"/>
          <w:bCs/>
        </w:rPr>
        <w:t xml:space="preserve">que en </w:t>
      </w:r>
      <w:r w:rsidR="00E706C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esión de fecha 25 de setiembre de 2013, este Tribunal observó el gasto derivado de dichas resoluciones, en mérito a que el mismo contravino el procedimiento en materia presupuestal implementado por el constituyente y asimismo por la inexistencia de vacantes para financiar los mismos;</w:t>
      </w:r>
    </w:p>
    <w:p w:rsidR="008A2F5D" w:rsidRDefault="00DF02A7" w:rsidP="00BE6D86">
      <w:pPr>
        <w:pStyle w:val="Textoindependiente"/>
        <w:ind w:firstLine="283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3) </w:t>
      </w:r>
      <w:r>
        <w:rPr>
          <w:rFonts w:ascii="Arial" w:hAnsi="Arial" w:cs="Arial"/>
        </w:rPr>
        <w:t>que por Resolución Nº 0755/2013 de fecha 02.10.13 el Banco de Seguros del Estado ha resuelto insistir en el gasto emergente de las citadas Resoluciones;</w:t>
      </w:r>
    </w:p>
    <w:p w:rsidR="008A2F5D" w:rsidRDefault="00DF02A7" w:rsidP="00BE6D86">
      <w:pPr>
        <w:pStyle w:val="Textoindependiente"/>
        <w:ind w:firstLine="283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 xml:space="preserve">que la Administración actuante fundamenta la  reiteración de referencia en : </w:t>
      </w: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 xml:space="preserve">el cumplimiento del Acuerdo Laboral Especial a requerimiento del “Poder Ejecutivo Nacional” suscrito por el B.S.E. y la Asociación de Empleados Bancarios del Uruguay de fecha 21.03.13, </w:t>
      </w: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el cumplimiento de lo dispuesto por la Ley Nº 19.094 de 20.06.13 que dispone el ingreso de los ex empleados del Banco Bandes Uruguay S.A. al Banco Central </w:t>
      </w:r>
      <w:r>
        <w:rPr>
          <w:rFonts w:ascii="Arial" w:hAnsi="Arial" w:cs="Arial"/>
        </w:rPr>
        <w:lastRenderedPageBreak/>
        <w:t xml:space="preserve">del Uruguay, Banco República Oriental del Uruguay y Banco de Seguros del Estado y </w:t>
      </w:r>
      <w:r>
        <w:rPr>
          <w:rFonts w:ascii="Arial" w:hAnsi="Arial" w:cs="Arial"/>
          <w:b/>
        </w:rPr>
        <w:t xml:space="preserve">c)  </w:t>
      </w:r>
      <w:r>
        <w:rPr>
          <w:rFonts w:ascii="Arial" w:hAnsi="Arial" w:cs="Arial"/>
        </w:rPr>
        <w:t>la posterioridad de la mencionada legislación respecto a la normativa constitucional que regula el Proyecto de Presupuesto del Ente;</w:t>
      </w:r>
    </w:p>
    <w:p w:rsidR="008A2F5D" w:rsidRDefault="00DF02A7" w:rsidP="00BE6D86">
      <w:pPr>
        <w:pStyle w:val="Textoindependiente"/>
        <w:ind w:firstLine="851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bCs/>
          <w:lang w:val="es-MX"/>
        </w:rPr>
        <w:t xml:space="preserve">1) </w:t>
      </w:r>
      <w:r>
        <w:rPr>
          <w:rFonts w:ascii="Arial" w:hAnsi="Arial" w:cs="Arial"/>
          <w:lang w:val="es-MX"/>
        </w:rPr>
        <w:t>que el Artículo 114 del T.O.C.A.F.,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8A2F5D" w:rsidRDefault="00DF02A7" w:rsidP="00BE6D86">
      <w:pPr>
        <w:pStyle w:val="Textoindependiente"/>
        <w:ind w:firstLine="2977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2) </w:t>
      </w:r>
      <w:r>
        <w:rPr>
          <w:rFonts w:ascii="Arial" w:hAnsi="Arial" w:cs="Arial"/>
          <w:lang w:val="es-MX"/>
        </w:rPr>
        <w:t>que la Contadora Delegada en el B.S.E. ha actuado en cumplimiento de lo dispuesto por el</w:t>
      </w:r>
      <w:r w:rsidR="00BE6D86">
        <w:rPr>
          <w:rFonts w:ascii="Arial" w:hAnsi="Arial" w:cs="Arial"/>
          <w:lang w:val="es-MX"/>
        </w:rPr>
        <w:t xml:space="preserve"> artículo 24 de la Ordenanza Nº</w:t>
      </w:r>
      <w:r>
        <w:rPr>
          <w:rFonts w:ascii="Arial" w:hAnsi="Arial" w:cs="Arial"/>
          <w:lang w:val="es-MX"/>
        </w:rPr>
        <w:t>64 de 02.03.88 dictada por este Tribunal, comunicando al mismo la presente insistencia en el gasto efectuada por el ordenador respectivo;</w:t>
      </w:r>
    </w:p>
    <w:p w:rsidR="008A2F5D" w:rsidRDefault="00DF02A7" w:rsidP="00BE6D86">
      <w:pPr>
        <w:pStyle w:val="Textoindependiente2"/>
        <w:ind w:firstLine="2977"/>
        <w:rPr>
          <w:bCs/>
        </w:rPr>
      </w:pPr>
      <w:r>
        <w:rPr>
          <w:b/>
          <w:bCs/>
        </w:rPr>
        <w:t xml:space="preserve">3) </w:t>
      </w:r>
      <w:r>
        <w:rPr>
          <w:bCs/>
        </w:rPr>
        <w:t xml:space="preserve">que en cuanto a los fundamentos de la reiteración invocados, cabe considerar que la normativa que regula el procedimiento de elaboración y sanción del Proyecto de Presupuesto de los Entes Industriales o Comerciales del Estado, emana de la Constitución de la República; </w:t>
      </w:r>
    </w:p>
    <w:p w:rsidR="008A2F5D" w:rsidRDefault="00DF02A7" w:rsidP="00BE6D86">
      <w:pPr>
        <w:pStyle w:val="Textoindependiente2"/>
        <w:suppressAutoHyphens w:val="0"/>
        <w:ind w:firstLine="2977"/>
        <w:rPr>
          <w:bCs/>
        </w:rPr>
      </w:pPr>
      <w:r>
        <w:rPr>
          <w:b/>
          <w:bCs/>
        </w:rPr>
        <w:t>4)</w:t>
      </w:r>
      <w:r>
        <w:rPr>
          <w:bCs/>
        </w:rPr>
        <w:t xml:space="preserve"> que dicha norma es la máxima fuente de derecho del ordenamiento jurídico nacional, por ende la aplicación de toda norma jurídica de fuente distinta, queda supeditada a lo por ella dispuesto;</w:t>
      </w:r>
    </w:p>
    <w:p w:rsidR="008A2F5D" w:rsidRDefault="00DF02A7" w:rsidP="00BE6D86">
      <w:pPr>
        <w:pStyle w:val="Textoindependiente2"/>
        <w:suppressAutoHyphens w:val="0"/>
        <w:ind w:firstLine="2977"/>
        <w:rPr>
          <w:bCs/>
        </w:rPr>
      </w:pPr>
      <w:r>
        <w:rPr>
          <w:b/>
          <w:bCs/>
        </w:rPr>
        <w:t xml:space="preserve">5) </w:t>
      </w:r>
      <w:proofErr w:type="gramStart"/>
      <w:r>
        <w:rPr>
          <w:bCs/>
        </w:rPr>
        <w:t>que</w:t>
      </w:r>
      <w:proofErr w:type="gramEnd"/>
      <w:r>
        <w:rPr>
          <w:bCs/>
        </w:rPr>
        <w:t xml:space="preserve"> en la especie, el Artículo 221 de la Constitución de la República dispone que los presupuestos de los Entes Industriales o Comerciales del Estado serán proyectados por cada uno de éstos y elevados al Poder Ejecutivo y al Tribunal de Cuentas cinco meses antes del comienzo de cada ejercicio...” y el Organismo está facultado a modificar el Proyecto de Presupuesto para ajustarlo a las observaciones formuladas por el Tribunal de Cuentas y el Poder Ejecutivo. Este Tribunal emitió su dictamen constitucional en relación al Presupuesto 2013 en sesión de fecha 29.08.2012 y las modificaciones propuestas fueron remitidas con fecha 09.09.13; </w:t>
      </w:r>
    </w:p>
    <w:p w:rsidR="008A2F5D" w:rsidRDefault="00DF02A7" w:rsidP="00BE6D86">
      <w:pPr>
        <w:pStyle w:val="Textoindependiente2"/>
        <w:suppressAutoHyphens w:val="0"/>
        <w:ind w:firstLine="2977"/>
        <w:rPr>
          <w:bCs/>
        </w:rPr>
      </w:pPr>
      <w:r>
        <w:rPr>
          <w:b/>
          <w:bCs/>
        </w:rPr>
        <w:lastRenderedPageBreak/>
        <w:t>6)</w:t>
      </w:r>
      <w:r>
        <w:rPr>
          <w:bCs/>
        </w:rPr>
        <w:t xml:space="preserve"> que en virtud de ello, el procedimiento relativo al gasto reiterado, implica una contravención a la normativa constitucional de referencia;</w:t>
      </w:r>
    </w:p>
    <w:p w:rsidR="008A2F5D" w:rsidRDefault="00DF02A7" w:rsidP="00BE6D86">
      <w:pPr>
        <w:pStyle w:val="Textoindependiente2"/>
        <w:suppressAutoHyphens w:val="0"/>
        <w:ind w:firstLine="2977"/>
        <w:rPr>
          <w:bCs/>
        </w:rPr>
      </w:pPr>
      <w:r>
        <w:rPr>
          <w:b/>
          <w:bCs/>
        </w:rPr>
        <w:t xml:space="preserve">7) </w:t>
      </w:r>
      <w:r>
        <w:rPr>
          <w:bCs/>
        </w:rPr>
        <w:t>que en definitiva, los argumentos invocados por la Administración actuante no logran modificar los fundamentos expuestos por este Tribunal en Sesión de fecha 25 de setiembre de 2013;</w:t>
      </w:r>
    </w:p>
    <w:p w:rsidR="008A2F5D" w:rsidRDefault="00DF02A7" w:rsidP="00BE6D86">
      <w:pPr>
        <w:spacing w:line="360" w:lineRule="auto"/>
        <w:ind w:firstLine="851"/>
        <w:jc w:val="both"/>
        <w:rPr>
          <w:rFonts w:cs="Arial"/>
          <w:lang w:val="es-ES_tradnl"/>
        </w:rPr>
      </w:pPr>
      <w:r>
        <w:rPr>
          <w:rFonts w:cs="Arial"/>
          <w:b/>
          <w:bCs/>
          <w:lang w:val="es-ES_tradnl"/>
        </w:rPr>
        <w:t>ATENTO:</w:t>
      </w:r>
      <w:r>
        <w:rPr>
          <w:rFonts w:cs="Arial"/>
          <w:lang w:val="es-ES_tradnl"/>
        </w:rPr>
        <w:t xml:space="preserve"> a lo precedentemente expuesto y a lo dispuesto por los Artículos  211 Literal B) y 221 de la Constitución de la República; </w:t>
      </w:r>
    </w:p>
    <w:p w:rsidR="008A2F5D" w:rsidRDefault="00DF02A7">
      <w:pPr>
        <w:pStyle w:val="Ttulo2"/>
      </w:pPr>
      <w:r>
        <w:t>EL TRIBUNAL ACUERDA</w:t>
      </w:r>
    </w:p>
    <w:p w:rsidR="008A2F5D" w:rsidRDefault="00DF02A7">
      <w:pPr>
        <w:spacing w:line="360" w:lineRule="auto"/>
        <w:jc w:val="center"/>
        <w:rPr>
          <w:lang w:val="es-MX"/>
        </w:rPr>
      </w:pPr>
      <w:r>
        <w:rPr>
          <w:b/>
          <w:bCs/>
          <w:lang w:val="es-MX"/>
        </w:rPr>
        <w:t xml:space="preserve"> 1)</w:t>
      </w:r>
      <w:r>
        <w:rPr>
          <w:lang w:val="es-MX"/>
        </w:rPr>
        <w:t xml:space="preserve"> Mantener la observación formulada por la Contadora Delegada a los gastos derivados de la aplicación de las  </w:t>
      </w:r>
      <w:r>
        <w:rPr>
          <w:rFonts w:cs="Arial"/>
        </w:rPr>
        <w:t>Resoluciones</w:t>
      </w:r>
      <w:r>
        <w:rPr>
          <w:rFonts w:cs="Arial"/>
          <w:lang w:val="es-MX"/>
        </w:rPr>
        <w:t xml:space="preserve"> Nº 578/13 y Nº 673/2013</w:t>
      </w:r>
      <w:r>
        <w:rPr>
          <w:lang w:val="es-MX"/>
        </w:rPr>
        <w:t>;</w:t>
      </w:r>
    </w:p>
    <w:p w:rsidR="008A2F5D" w:rsidRDefault="00DF02A7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 xml:space="preserve"> 2)</w:t>
      </w:r>
      <w:r>
        <w:rPr>
          <w:lang w:val="es-MX"/>
        </w:rPr>
        <w:t xml:space="preserve"> Dar cuenta a la Asamblea General; y </w:t>
      </w:r>
    </w:p>
    <w:p w:rsidR="008A2F5D" w:rsidRDefault="00DF02A7">
      <w:pPr>
        <w:spacing w:line="360" w:lineRule="auto"/>
        <w:jc w:val="both"/>
      </w:pPr>
      <w:r>
        <w:rPr>
          <w:b/>
          <w:bCs/>
        </w:rPr>
        <w:t xml:space="preserve"> 3)</w:t>
      </w:r>
      <w:r>
        <w:t xml:space="preserve"> Comunicar a la Administración actuante.</w:t>
      </w:r>
    </w:p>
    <w:p w:rsidR="00DF02A7" w:rsidRDefault="00DF02A7">
      <w:pPr>
        <w:spacing w:line="360" w:lineRule="auto"/>
        <w:jc w:val="both"/>
        <w:rPr>
          <w:rFonts w:cs="Arial"/>
          <w:lang w:val="es-ES_tradnl"/>
        </w:rPr>
      </w:pPr>
      <w:proofErr w:type="spellStart"/>
      <w:proofErr w:type="gramStart"/>
      <w:r>
        <w:t>cr</w:t>
      </w:r>
      <w:proofErr w:type="spellEnd"/>
      <w:proofErr w:type="gramEnd"/>
    </w:p>
    <w:sectPr w:rsidR="00DF02A7" w:rsidSect="00E706C4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6C4"/>
    <w:rsid w:val="008A2F5D"/>
    <w:rsid w:val="00BE6D86"/>
    <w:rsid w:val="00DF02A7"/>
    <w:rsid w:val="00E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cs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Times New Roman" w:hAnsi="Times New Roman"/>
      <w:lang w:val="es-ES_tradnl"/>
    </w:rPr>
  </w:style>
  <w:style w:type="paragraph" w:styleId="Textoindependiente2">
    <w:name w:val="Body Text 2"/>
    <w:basedOn w:val="Normal"/>
    <w:semiHidden/>
    <w:pPr>
      <w:suppressAutoHyphens/>
      <w:spacing w:line="360" w:lineRule="auto"/>
      <w:jc w:val="both"/>
    </w:pPr>
    <w:rPr>
      <w:rFonts w:cs="Arial"/>
      <w:spacing w:val="-3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218181</vt:lpstr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218181</dc:title>
  <dc:subject/>
  <dc:creator>Tribunal1</dc:creator>
  <cp:keywords/>
  <dc:description/>
  <cp:lastModifiedBy> </cp:lastModifiedBy>
  <cp:revision>3</cp:revision>
  <cp:lastPrinted>2013-11-19T18:11:00Z</cp:lastPrinted>
  <dcterms:created xsi:type="dcterms:W3CDTF">2013-11-19T18:11:00Z</dcterms:created>
  <dcterms:modified xsi:type="dcterms:W3CDTF">2013-12-06T17:56:00Z</dcterms:modified>
</cp:coreProperties>
</file>