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2D" w:rsidRPr="00BC132D" w:rsidRDefault="00BC132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BC132D">
        <w:rPr>
          <w:rFonts w:ascii="Arial" w:hAnsi="Arial" w:cs="Arial"/>
          <w:lang w:val="es-ES_tradnl"/>
        </w:rPr>
        <w:t>RESOLUCION ADOPTADA POR EL</w:t>
      </w:r>
    </w:p>
    <w:p w:rsidR="00BC132D" w:rsidRPr="00BC132D" w:rsidRDefault="00BC132D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BC132D" w:rsidRPr="00BC132D" w:rsidRDefault="00BC132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BC132D">
        <w:rPr>
          <w:rFonts w:ascii="Arial" w:hAnsi="Arial" w:cs="Arial"/>
          <w:lang w:val="es-ES_tradnl"/>
        </w:rPr>
        <w:t>TRIBUNAL DE CUENTAS</w:t>
      </w:r>
    </w:p>
    <w:p w:rsidR="00BC132D" w:rsidRPr="00BC132D" w:rsidRDefault="00BC132D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BC132D" w:rsidRPr="00BC132D" w:rsidRDefault="00BC132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BC132D">
        <w:rPr>
          <w:rFonts w:ascii="Arial" w:hAnsi="Arial" w:cs="Arial"/>
          <w:lang w:val="es-ES_tradnl"/>
        </w:rPr>
        <w:t xml:space="preserve">EN SESION DE FECHA  13 DE </w:t>
      </w:r>
      <w:r w:rsidRPr="00BC132D">
        <w:rPr>
          <w:rFonts w:ascii="Arial" w:hAnsi="Arial" w:cs="Arial"/>
          <w:lang w:val="es-ES_tradnl"/>
        </w:rPr>
        <w:tab/>
        <w:t>NOVIEMBRE  DE  2013</w:t>
      </w:r>
    </w:p>
    <w:p w:rsidR="00BC132D" w:rsidRPr="00BC132D" w:rsidRDefault="00BC132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BC132D" w:rsidRPr="00BC132D" w:rsidRDefault="00BC132D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BC132D">
        <w:rPr>
          <w:rFonts w:ascii="Arial" w:hAnsi="Arial" w:cs="Arial"/>
          <w:lang w:val="es-UY"/>
        </w:rPr>
        <w:t xml:space="preserve">(E. E. Nº 2013-17-1-0006930, </w:t>
      </w:r>
      <w:proofErr w:type="spellStart"/>
      <w:r w:rsidRPr="00BC132D">
        <w:rPr>
          <w:rFonts w:ascii="Arial" w:hAnsi="Arial" w:cs="Arial"/>
          <w:lang w:val="es-UY"/>
        </w:rPr>
        <w:t>Ent</w:t>
      </w:r>
      <w:proofErr w:type="spellEnd"/>
      <w:r w:rsidRPr="00BC132D">
        <w:rPr>
          <w:rFonts w:ascii="Arial" w:hAnsi="Arial" w:cs="Arial"/>
          <w:lang w:val="es-UY"/>
        </w:rPr>
        <w:t>. N° 6002/13.)</w:t>
      </w:r>
    </w:p>
    <w:p w:rsidR="00BC132D" w:rsidRPr="00BC132D" w:rsidRDefault="00BC132D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UY"/>
        </w:rPr>
      </w:pPr>
    </w:p>
    <w:p w:rsidR="00BC132D" w:rsidRPr="00BC132D" w:rsidRDefault="00BC132D">
      <w:pPr>
        <w:tabs>
          <w:tab w:val="center" w:pos="4253"/>
        </w:tabs>
        <w:suppressAutoHyphens/>
        <w:rPr>
          <w:rFonts w:ascii="Arial" w:hAnsi="Arial" w:cs="Arial"/>
          <w:spacing w:val="-3"/>
          <w:lang w:val="es-UY"/>
        </w:rPr>
      </w:pPr>
    </w:p>
    <w:p w:rsidR="00000000" w:rsidRDefault="00BC132D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u w:val="none"/>
        </w:rPr>
        <w:t>VISTO:</w:t>
      </w:r>
      <w:r>
        <w:rPr>
          <w:b w:val="0"/>
          <w:bCs/>
          <w:u w:val="none"/>
        </w:rPr>
        <w:t xml:space="preserve"> las actuaciones remitidas por el Ministerio de Transporte y Obras Publicas (MTOP) relacionadas co</w:t>
      </w:r>
      <w:r>
        <w:rPr>
          <w:b w:val="0"/>
          <w:bCs/>
          <w:u w:val="none"/>
        </w:rPr>
        <w:t>n la Licitación Pública N° 19/2013, cuyo objeto es la adquisición de tickets alimentación para sus funcionarios;</w:t>
      </w:r>
    </w:p>
    <w:p w:rsidR="00000000" w:rsidRDefault="00BC132D">
      <w:pPr>
        <w:pStyle w:val="Ttulo"/>
        <w:ind w:firstLine="708"/>
        <w:jc w:val="both"/>
      </w:pPr>
      <w:r>
        <w:rPr>
          <w:u w:val="none"/>
        </w:rPr>
        <w:t xml:space="preserve">RESULTANDO: 1) </w:t>
      </w:r>
      <w:r>
        <w:rPr>
          <w:b w:val="0"/>
          <w:bCs/>
          <w:u w:val="none"/>
        </w:rPr>
        <w:t xml:space="preserve">que cumplidos los trámites de estilo (publicaciones e invitaciones), al Acto de Apertura realizado </w:t>
      </w:r>
      <w:r>
        <w:rPr>
          <w:b w:val="0"/>
          <w:bCs/>
          <w:u w:val="none"/>
        </w:rPr>
        <w:t>con fecha 20.9.2013 se presentaron las empresas Luncheon Tickets S.A. –</w:t>
      </w:r>
      <w:proofErr w:type="spellStart"/>
      <w:r>
        <w:rPr>
          <w:b w:val="0"/>
          <w:bCs/>
          <w:u w:val="none"/>
        </w:rPr>
        <w:t>Endenred</w:t>
      </w:r>
      <w:proofErr w:type="spellEnd"/>
      <w:r>
        <w:rPr>
          <w:b w:val="0"/>
          <w:bCs/>
          <w:u w:val="none"/>
        </w:rPr>
        <w:t xml:space="preserve">- y  </w:t>
      </w:r>
      <w:proofErr w:type="spellStart"/>
      <w:r>
        <w:rPr>
          <w:b w:val="0"/>
          <w:bCs/>
          <w:u w:val="none"/>
        </w:rPr>
        <w:t>Sodexo</w:t>
      </w:r>
      <w:proofErr w:type="spellEnd"/>
      <w:r>
        <w:rPr>
          <w:b w:val="0"/>
          <w:bCs/>
          <w:u w:val="none"/>
        </w:rPr>
        <w:t xml:space="preserve"> SVC Uruguay S.A.;</w:t>
      </w:r>
    </w:p>
    <w:p w:rsidR="00000000" w:rsidRDefault="00BC132D" w:rsidP="00BC132D">
      <w:pPr>
        <w:pStyle w:val="Textoindependiente2"/>
        <w:ind w:firstLine="2552"/>
        <w:rPr>
          <w:b/>
          <w:bCs w:val="0"/>
        </w:rPr>
      </w:pPr>
      <w:r>
        <w:rPr>
          <w:b/>
          <w:bCs w:val="0"/>
        </w:rPr>
        <w:t xml:space="preserve">2) </w:t>
      </w:r>
      <w:r>
        <w:t>que la Comisión Asesora de Adjudicaciones</w:t>
      </w:r>
      <w:r>
        <w:rPr>
          <w:b/>
          <w:bCs w:val="0"/>
        </w:rPr>
        <w:t xml:space="preserve">, </w:t>
      </w:r>
      <w:r>
        <w:t>señala que</w:t>
      </w:r>
      <w:r>
        <w:rPr>
          <w:b/>
          <w:bCs w:val="0"/>
        </w:rPr>
        <w:t xml:space="preserve"> </w:t>
      </w:r>
      <w:r>
        <w:t>analizados los antecedentes no existen observa</w:t>
      </w:r>
      <w:r>
        <w:t>ciones del punto de vista jurídico- notarial a las ofertas propuestas, la firma Luncheon T</w:t>
      </w:r>
      <w:r>
        <w:t xml:space="preserve">ickets ofrece cobrar una comisión de servicios del 2.4%, un costo de entrega de $ 732 IVA incluido y un plazo de tres días hábiles para la entrega, </w:t>
      </w:r>
      <w:proofErr w:type="spellStart"/>
      <w:r>
        <w:t>Sodexo</w:t>
      </w:r>
      <w:proofErr w:type="spellEnd"/>
      <w:r>
        <w:t xml:space="preserve"> ofrece cobr</w:t>
      </w:r>
      <w:r>
        <w:t xml:space="preserve">ar una comisión del servicios del 2.15%, un costo de entrega de $ 2.117 IVA incluido y un plazo de entrega de tres días hábiles. La Comisión recomienda adjudicar a la empresa </w:t>
      </w:r>
      <w:proofErr w:type="spellStart"/>
      <w:r>
        <w:t>Sodexo</w:t>
      </w:r>
      <w:proofErr w:type="spellEnd"/>
      <w:r>
        <w:t xml:space="preserve"> SVC Uruguay S.A por ser la mejor oferta; </w:t>
      </w:r>
    </w:p>
    <w:p w:rsidR="00000000" w:rsidRDefault="00BC132D" w:rsidP="00BC132D">
      <w:pPr>
        <w:pStyle w:val="Ttulo"/>
        <w:ind w:firstLine="2552"/>
        <w:jc w:val="both"/>
        <w:rPr>
          <w:b w:val="0"/>
          <w:bCs/>
          <w:u w:val="none"/>
        </w:rPr>
      </w:pPr>
      <w:r>
        <w:rPr>
          <w:u w:val="none"/>
        </w:rPr>
        <w:t>3)</w:t>
      </w:r>
      <w:r>
        <w:rPr>
          <w:b w:val="0"/>
          <w:bCs/>
          <w:u w:val="none"/>
        </w:rPr>
        <w:t xml:space="preserve"> que se adjunta Proy</w:t>
      </w:r>
      <w:r>
        <w:rPr>
          <w:b w:val="0"/>
          <w:bCs/>
          <w:u w:val="none"/>
        </w:rPr>
        <w:t>ecto de Resolución adjudicando el llamado de acuerdo con</w:t>
      </w:r>
      <w:r>
        <w:rPr>
          <w:b w:val="0"/>
          <w:bCs/>
          <w:u w:val="none"/>
        </w:rPr>
        <w:t xml:space="preserve"> lo dictaminado por la Comisión Asesora de Adjudicaciones, </w:t>
      </w:r>
      <w:r>
        <w:rPr>
          <w:rFonts w:cs="Arial"/>
          <w:b w:val="0"/>
          <w:bCs/>
          <w:u w:val="none"/>
          <w:lang w:val="es-ES_tradnl"/>
        </w:rPr>
        <w:t xml:space="preserve">por un monto de hasta $ 7.500.000 por concepto de tickets alimentación y por la suma de $ 180.000 impuestos incluidos por concepto de comisión </w:t>
      </w:r>
      <w:r>
        <w:rPr>
          <w:rFonts w:cs="Arial"/>
          <w:b w:val="0"/>
          <w:bCs/>
          <w:u w:val="none"/>
          <w:lang w:val="es-ES_tradnl"/>
        </w:rPr>
        <w:t>y costo de entrega</w:t>
      </w:r>
      <w:r>
        <w:rPr>
          <w:b w:val="0"/>
          <w:bCs/>
          <w:u w:val="none"/>
        </w:rPr>
        <w:t xml:space="preserve">; </w:t>
      </w:r>
    </w:p>
    <w:p w:rsidR="00000000" w:rsidRDefault="00BC132D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 </w:t>
      </w:r>
      <w:r>
        <w:rPr>
          <w:bCs/>
          <w:u w:val="none"/>
        </w:rPr>
        <w:t>CONSIDERANDO: 1)</w:t>
      </w:r>
      <w:r>
        <w:rPr>
          <w:b w:val="0"/>
          <w:bCs/>
          <w:u w:val="none"/>
        </w:rPr>
        <w:t xml:space="preserve"> que el A</w:t>
      </w:r>
      <w:r>
        <w:rPr>
          <w:b w:val="0"/>
          <w:bCs/>
          <w:u w:val="none"/>
        </w:rPr>
        <w:t>rtículo</w:t>
      </w:r>
      <w:r>
        <w:rPr>
          <w:b w:val="0"/>
          <w:bCs/>
          <w:u w:val="none"/>
        </w:rPr>
        <w:t xml:space="preserve"> 48 L</w:t>
      </w:r>
      <w:r>
        <w:rPr>
          <w:b w:val="0"/>
          <w:bCs/>
          <w:u w:val="none"/>
        </w:rPr>
        <w:t>iteral</w:t>
      </w:r>
      <w:r>
        <w:rPr>
          <w:b w:val="0"/>
          <w:bCs/>
          <w:u w:val="none"/>
        </w:rPr>
        <w:t xml:space="preserve"> C) del TOCAF establece que</w:t>
      </w:r>
      <w:proofErr w:type="gramStart"/>
      <w:r>
        <w:rPr>
          <w:b w:val="0"/>
          <w:bCs/>
          <w:u w:val="none"/>
        </w:rPr>
        <w:t>: ”</w:t>
      </w:r>
      <w:proofErr w:type="gramEnd"/>
      <w:r>
        <w:rPr>
          <w:b w:val="0"/>
          <w:bCs/>
          <w:u w:val="none"/>
        </w:rPr>
        <w:t xml:space="preserve">... el pliego deberá contener como mínimo: ..(..).C) El o los principales factores que se tendrán en cuenta para evaluar las ofertas, así como la </w:t>
      </w:r>
      <w:r>
        <w:rPr>
          <w:b w:val="0"/>
          <w:bCs/>
          <w:u w:val="none"/>
        </w:rPr>
        <w:lastRenderedPageBreak/>
        <w:t>ponderación de cada uno</w:t>
      </w:r>
      <w:r>
        <w:rPr>
          <w:b w:val="0"/>
          <w:bCs/>
          <w:u w:val="none"/>
        </w:rPr>
        <w:t xml:space="preserve"> a efectos de determinar la calificación asignada a cada oferta, en su caso”.</w:t>
      </w:r>
    </w:p>
    <w:p w:rsidR="00000000" w:rsidRDefault="00BC132D" w:rsidP="00BC132D">
      <w:pPr>
        <w:pStyle w:val="Ttulo"/>
        <w:ind w:firstLine="2977"/>
        <w:jc w:val="both"/>
        <w:rPr>
          <w:b w:val="0"/>
          <w:bCs/>
          <w:u w:val="none"/>
        </w:rPr>
      </w:pPr>
      <w:r>
        <w:rPr>
          <w:u w:val="none"/>
        </w:rPr>
        <w:t>2)</w:t>
      </w:r>
      <w:r>
        <w:rPr>
          <w:b w:val="0"/>
          <w:bCs/>
          <w:u w:val="none"/>
        </w:rPr>
        <w:t xml:space="preserve"> que el pliego que rige el llamado de obrados establece en el ítem 10 “de la adjudicación” que la Administración, a su exclusivo juicio podrá adjudicar el objeto del prese</w:t>
      </w:r>
      <w:r>
        <w:rPr>
          <w:b w:val="0"/>
          <w:bCs/>
          <w:u w:val="none"/>
        </w:rPr>
        <w:t>nte llamado a la o las ofertas que considere más conveniente para sus intereses o rechazarlas todas;</w:t>
      </w:r>
      <w:r>
        <w:rPr>
          <w:b w:val="0"/>
          <w:bCs/>
          <w:u w:val="none"/>
        </w:rPr>
        <w:tab/>
      </w:r>
    </w:p>
    <w:p w:rsidR="00000000" w:rsidRDefault="00BC132D" w:rsidP="00BC132D">
      <w:pPr>
        <w:pStyle w:val="Ttulo"/>
        <w:ind w:firstLine="2977"/>
        <w:jc w:val="both"/>
        <w:rPr>
          <w:rFonts w:cs="Arial"/>
          <w:b w:val="0"/>
          <w:bCs/>
          <w:u w:val="none"/>
        </w:rPr>
      </w:pPr>
      <w:r>
        <w:rPr>
          <w:u w:val="none"/>
        </w:rPr>
        <w:t>3)</w:t>
      </w:r>
      <w:r>
        <w:rPr>
          <w:b w:val="0"/>
          <w:bCs/>
          <w:u w:val="none"/>
        </w:rPr>
        <w:t xml:space="preserve"> que no se establecen los factores a tener en cuenta ni los mecanismos de ponderación de cada </w:t>
      </w:r>
      <w:r>
        <w:rPr>
          <w:rFonts w:cs="Arial"/>
          <w:b w:val="0"/>
          <w:bCs/>
          <w:u w:val="none"/>
        </w:rPr>
        <w:t>uno de ellos, a efectos de determinar la califica</w:t>
      </w:r>
      <w:r>
        <w:rPr>
          <w:rFonts w:cs="Arial"/>
          <w:b w:val="0"/>
          <w:bCs/>
          <w:u w:val="none"/>
        </w:rPr>
        <w:t>ción, como requiere la norma citada;</w:t>
      </w:r>
    </w:p>
    <w:p w:rsidR="00000000" w:rsidRDefault="00BC132D" w:rsidP="00BC132D">
      <w:pPr>
        <w:pStyle w:val="Ttulo"/>
        <w:ind w:firstLine="2977"/>
        <w:jc w:val="both"/>
        <w:rPr>
          <w:b w:val="0"/>
          <w:bCs/>
          <w:u w:val="none"/>
        </w:rPr>
      </w:pPr>
      <w:r>
        <w:rPr>
          <w:rFonts w:cs="Arial"/>
          <w:u w:val="none"/>
        </w:rPr>
        <w:t>4)</w:t>
      </w:r>
      <w:r>
        <w:rPr>
          <w:rFonts w:cs="Arial"/>
          <w:b w:val="0"/>
          <w:bCs/>
          <w:u w:val="none"/>
        </w:rPr>
        <w:t xml:space="preserve"> </w:t>
      </w:r>
      <w:r>
        <w:rPr>
          <w:rFonts w:cs="Arial"/>
          <w:b w:val="0"/>
          <w:bCs/>
          <w:u w:val="none"/>
          <w:lang w:val="es-ES_tradnl"/>
        </w:rPr>
        <w:t>que el pliego de condiciones particulares es una norma de derecho de rango reglamentario y en el caso, contraviene disposiciones del TOCAF, de base legal y por ende de rango superior, como viene de explicitarse;</w:t>
      </w:r>
    </w:p>
    <w:p w:rsidR="00000000" w:rsidRDefault="00BC132D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 xml:space="preserve"> </w:t>
      </w:r>
      <w:r>
        <w:rPr>
          <w:u w:val="none"/>
        </w:rPr>
        <w:t xml:space="preserve">ATENTO: </w:t>
      </w:r>
      <w:r>
        <w:rPr>
          <w:b w:val="0"/>
          <w:bCs/>
          <w:u w:val="none"/>
        </w:rPr>
        <w:t>a lo precedentemente expuesto y a lo establecido en el A</w:t>
      </w:r>
      <w:r>
        <w:rPr>
          <w:b w:val="0"/>
          <w:bCs/>
          <w:u w:val="none"/>
        </w:rPr>
        <w:t>rtículo 211 literal B) de la Constitución de la República;</w:t>
      </w:r>
    </w:p>
    <w:p w:rsidR="00000000" w:rsidRDefault="00BC132D">
      <w:pPr>
        <w:pStyle w:val="Ttulo2"/>
        <w:spacing w:line="360" w:lineRule="auto"/>
        <w:rPr>
          <w:lang w:val="es-UY"/>
        </w:rPr>
      </w:pPr>
      <w:bookmarkStart w:id="0" w:name="_GoBack"/>
      <w:bookmarkEnd w:id="0"/>
      <w:r>
        <w:rPr>
          <w:lang w:val="es-UY"/>
        </w:rPr>
        <w:t>EL TRIBUNAL ACUERDA</w:t>
      </w:r>
    </w:p>
    <w:p w:rsidR="00000000" w:rsidRDefault="00BC132D" w:rsidP="00BC132D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BC132D">
        <w:rPr>
          <w:rFonts w:ascii="Arial" w:hAnsi="Arial" w:cs="Arial"/>
          <w:bCs/>
        </w:rPr>
        <w:t>1)</w:t>
      </w:r>
      <w:r>
        <w:rPr>
          <w:rFonts w:ascii="Arial" w:hAnsi="Arial" w:cs="Arial"/>
          <w:b w:val="0"/>
          <w:bCs/>
        </w:rPr>
        <w:t xml:space="preserve"> Observar el gasto; y</w:t>
      </w:r>
      <w:r>
        <w:rPr>
          <w:rFonts w:ascii="Arial" w:hAnsi="Arial" w:cs="Arial"/>
          <w:b w:val="0"/>
          <w:bCs/>
        </w:rPr>
        <w:t xml:space="preserve"> </w:t>
      </w:r>
    </w:p>
    <w:p w:rsidR="00000000" w:rsidRDefault="00BC132D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BC132D">
        <w:rPr>
          <w:rFonts w:ascii="Arial" w:hAnsi="Arial" w:cs="Arial"/>
          <w:bCs/>
        </w:rPr>
        <w:t>2)</w:t>
      </w:r>
      <w:r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  <w:bCs/>
        </w:rPr>
        <w:t>Devolver las actuaciones.</w:t>
      </w:r>
    </w:p>
    <w:p w:rsidR="00000000" w:rsidRDefault="00BC132D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000000" w:rsidRDefault="00BC132D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000000" w:rsidRDefault="00BC132D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BC132D" w:rsidRDefault="00BC132D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BC132D" w:rsidRDefault="00BC132D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BC132D" w:rsidRDefault="00BC132D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BC132D" w:rsidRDefault="00BC132D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  <w:proofErr w:type="spellStart"/>
      <w:proofErr w:type="gramStart"/>
      <w:r>
        <w:rPr>
          <w:rFonts w:ascii="Arial" w:hAnsi="Arial" w:cs="Arial"/>
          <w:b w:val="0"/>
          <w:bCs/>
          <w:lang w:val="es-ES_tradnl"/>
        </w:rPr>
        <w:t>cr</w:t>
      </w:r>
      <w:proofErr w:type="spellEnd"/>
      <w:proofErr w:type="gramEnd"/>
    </w:p>
    <w:sectPr w:rsidR="00BC132D" w:rsidSect="00BC132D">
      <w:pgSz w:w="11906" w:h="16838"/>
      <w:pgMar w:top="3402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5">
    <w:nsid w:val="65D86F24"/>
    <w:multiLevelType w:val="hybridMultilevel"/>
    <w:tmpl w:val="EF80CBB2"/>
    <w:lvl w:ilvl="0" w:tplc="44841048">
      <w:start w:val="2"/>
      <w:numFmt w:val="decimal"/>
      <w:lvlText w:val="%1."/>
      <w:lvlJc w:val="left"/>
      <w:pPr>
        <w:tabs>
          <w:tab w:val="num" w:pos="1893"/>
        </w:tabs>
        <w:ind w:left="18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613"/>
        </w:tabs>
        <w:ind w:left="261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333"/>
        </w:tabs>
        <w:ind w:left="333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53"/>
        </w:tabs>
        <w:ind w:left="405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73"/>
        </w:tabs>
        <w:ind w:left="477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93"/>
        </w:tabs>
        <w:ind w:left="549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13"/>
        </w:tabs>
        <w:ind w:left="621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933"/>
        </w:tabs>
        <w:ind w:left="693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53"/>
        </w:tabs>
        <w:ind w:left="7653" w:hanging="180"/>
      </w:pPr>
    </w:lvl>
  </w:abstractNum>
  <w:abstractNum w:abstractNumId="16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1"/>
  </w:num>
  <w:num w:numId="7">
    <w:abstractNumId w:val="14"/>
  </w:num>
  <w:num w:numId="8">
    <w:abstractNumId w:val="6"/>
  </w:num>
  <w:num w:numId="9">
    <w:abstractNumId w:val="3"/>
  </w:num>
  <w:num w:numId="10">
    <w:abstractNumId w:val="10"/>
  </w:num>
  <w:num w:numId="11">
    <w:abstractNumId w:val="18"/>
  </w:num>
  <w:num w:numId="12">
    <w:abstractNumId w:val="20"/>
  </w:num>
  <w:num w:numId="13">
    <w:abstractNumId w:val="22"/>
  </w:num>
  <w:num w:numId="14">
    <w:abstractNumId w:val="5"/>
  </w:num>
  <w:num w:numId="15">
    <w:abstractNumId w:val="13"/>
  </w:num>
  <w:num w:numId="16">
    <w:abstractNumId w:val="16"/>
  </w:num>
  <w:num w:numId="17">
    <w:abstractNumId w:val="19"/>
  </w:num>
  <w:num w:numId="18">
    <w:abstractNumId w:val="8"/>
  </w:num>
  <w:num w:numId="19">
    <w:abstractNumId w:val="9"/>
  </w:num>
  <w:num w:numId="20">
    <w:abstractNumId w:val="7"/>
  </w:num>
  <w:num w:numId="21">
    <w:abstractNumId w:val="1"/>
  </w:num>
  <w:num w:numId="22">
    <w:abstractNumId w:val="0"/>
  </w:num>
  <w:num w:numId="23">
    <w:abstractNumId w:val="9"/>
    <w:lvlOverride w:ilvl="0">
      <w:startOverride w:val="9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32D"/>
    <w:rsid w:val="00BC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Sangra3detindependiente">
    <w:name w:val="Body Text Indent 3"/>
    <w:basedOn w:val="Normal"/>
    <w:semiHidden/>
    <w:pPr>
      <w:spacing w:line="360" w:lineRule="auto"/>
      <w:ind w:left="2832"/>
      <w:jc w:val="both"/>
    </w:pPr>
    <w:rPr>
      <w:rFonts w:ascii="Arial" w:hAnsi="Arial" w:cs="Arial"/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2261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> 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subject/>
  <dc:creator>.</dc:creator>
  <cp:keywords/>
  <cp:lastModifiedBy>Miriam Cristina Rivero</cp:lastModifiedBy>
  <cp:revision>2</cp:revision>
  <cp:lastPrinted>2013-11-14T16:47:00Z</cp:lastPrinted>
  <dcterms:created xsi:type="dcterms:W3CDTF">2013-11-14T16:48:00Z</dcterms:created>
  <dcterms:modified xsi:type="dcterms:W3CDTF">2013-11-14T16:48:00Z</dcterms:modified>
</cp:coreProperties>
</file>