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69" w:rsidRPr="00CC6C69" w:rsidRDefault="00CC6C69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CC6C69">
        <w:rPr>
          <w:rFonts w:ascii="Helvetica" w:hAnsi="Helvetica"/>
          <w:b/>
          <w:sz w:val="24"/>
          <w:szCs w:val="24"/>
        </w:rPr>
        <w:t>RESOLUCION ADOPTADA POR EL</w:t>
      </w:r>
    </w:p>
    <w:p w:rsidR="00CC6C69" w:rsidRPr="00CC6C69" w:rsidRDefault="00CC6C69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CC6C69">
        <w:rPr>
          <w:rFonts w:ascii="Helvetica" w:hAnsi="Helvetica"/>
          <w:b/>
          <w:sz w:val="24"/>
          <w:szCs w:val="24"/>
        </w:rPr>
        <w:t>TRIBUNAL DE CUENTAS</w:t>
      </w:r>
    </w:p>
    <w:p w:rsidR="00CC6C69" w:rsidRPr="00CC6C69" w:rsidRDefault="00CC6C69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CC6C69">
        <w:rPr>
          <w:rFonts w:ascii="Helvetica" w:hAnsi="Helvetica"/>
          <w:b/>
          <w:sz w:val="24"/>
          <w:szCs w:val="24"/>
        </w:rPr>
        <w:t>EN SESION DE FECHA  6 DE NOVIEMBRE DE  2013</w:t>
      </w:r>
    </w:p>
    <w:p w:rsidR="00CC6C69" w:rsidRPr="00CC6C69" w:rsidRDefault="00CC6C69" w:rsidP="00CC6C69">
      <w:pPr>
        <w:tabs>
          <w:tab w:val="center" w:pos="4253"/>
        </w:tabs>
        <w:suppressAutoHyphens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CC6C69">
        <w:rPr>
          <w:rFonts w:ascii="Helvetica" w:hAnsi="Helvetica"/>
          <w:b/>
          <w:sz w:val="24"/>
          <w:szCs w:val="24"/>
        </w:rPr>
        <w:t xml:space="preserve">(E. E. Nº </w:t>
      </w:r>
      <w:r w:rsidRPr="00CC6C69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 xml:space="preserve">2013-17-1-0005026 </w:t>
      </w:r>
      <w:r w:rsidRPr="00CC6C6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E. </w:t>
      </w:r>
      <w:r w:rsidRPr="00CC6C69">
        <w:rPr>
          <w:rFonts w:ascii="Arial" w:eastAsia="Times New Roman" w:hAnsi="Arial" w:cs="Arial"/>
          <w:b/>
          <w:sz w:val="24"/>
          <w:szCs w:val="24"/>
          <w:lang w:val="es-ES" w:eastAsia="es-ES"/>
        </w:rPr>
        <w:t>4992/13)</w:t>
      </w:r>
      <w:r w:rsidRPr="00CC6C6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</w:t>
      </w:r>
    </w:p>
    <w:p w:rsidR="00CC6C69" w:rsidRPr="00CC6C69" w:rsidRDefault="00CC6C69" w:rsidP="00CC6C69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CC6C69">
        <w:rPr>
          <w:rFonts w:ascii="Arial" w:eastAsia="Times New Roman" w:hAnsi="Arial" w:cs="Arial"/>
          <w:b/>
          <w:sz w:val="24"/>
          <w:szCs w:val="24"/>
          <w:lang w:val="es-MX" w:eastAsia="es-ES"/>
        </w:rPr>
        <w:t>VISTO:</w:t>
      </w:r>
      <w:r w:rsidRPr="00CC6C6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la consulta remitida por el Contador Delegado 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>en la Administración Nacional de  Combustibles</w:t>
      </w:r>
      <w:r w:rsidR="00D23C3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Alcohol 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>y P</w:t>
      </w:r>
      <w:r w:rsidR="00D23C33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rtland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relativa a la modificación del contrato del D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>octor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Fernando Menéndez, como asesor de la Sra. Directora C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ontadora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proofErr w:type="spellStart"/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Baldoira</w:t>
      </w:r>
      <w:proofErr w:type="spellEnd"/>
      <w:r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</w:p>
    <w:p w:rsidR="00CC6C69" w:rsidRPr="00CC6C69" w:rsidRDefault="00CC6C69" w:rsidP="00CC6C69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CC6C6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RESULTANDO: </w:t>
      </w:r>
      <w:r w:rsidR="00C37431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CC6C6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1) 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el Contador Delegado, por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>ota de fecha 14 de agosto del 2013, en relación al cambio de condiciones en la contratación del referido asesor, consulta si las contrataciones efectuadas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al amparo de la 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ey 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Nº 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>17</w:t>
      </w:r>
      <w:r w:rsidR="00D23C33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557 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>Artículo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23 y 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ey 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Nº 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>18</w:t>
      </w:r>
      <w:r w:rsidR="00D23C33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834 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>Artículo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68, deben ser imputadas necesariamente al 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>R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ubro 0, o pueden ser imputadas al 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>R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>ubro 2</w:t>
      </w:r>
      <w:r w:rsidR="00D23C33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y agrega que si bien no surge expresamente del texto, entiende que se crea un vínculo funcional de car</w:t>
      </w:r>
      <w:r w:rsidR="00D23C33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ácter no permanente y asimismo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da cuenta que se le otorga el derecho al servicio médico,  al asesor contratado; </w:t>
      </w:r>
    </w:p>
    <w:p w:rsidR="00CC6C69" w:rsidRPr="00CC6C69" w:rsidRDefault="00CC6C69" w:rsidP="00CC6C69">
      <w:pPr>
        <w:spacing w:before="120" w:after="12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ab/>
        <w:t xml:space="preserve">       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</w:t>
      </w:r>
      <w:r w:rsidRPr="00CC6C6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2) 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>que este Tribunal, por Oficio  Nº 6675/2013 del 3 de setiembre de 2013, solicitó la remisión de todos los antecedentes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>(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>R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esolución del Directorio y consideraciones sobre las normas citadas en la nota), a efectos de evacuar la consulta; </w:t>
      </w:r>
    </w:p>
    <w:p w:rsidR="00CC6C69" w:rsidRPr="00CC6C69" w:rsidRDefault="00CC6C69" w:rsidP="00CC6C6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C6C6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ab/>
        <w:t xml:space="preserve">                  </w:t>
      </w:r>
      <w:r w:rsidR="00C37431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  </w:t>
      </w:r>
      <w:r w:rsidRPr="00CC6C6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3) 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>que en cumplimiento de lo solicitado se remite la documentación solicitada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CC6C69" w:rsidRPr="00CC6C69" w:rsidRDefault="00CC6C69" w:rsidP="00CC6C69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                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</w:t>
      </w:r>
      <w:r w:rsidRPr="00CC6C69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4)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CC6C69">
        <w:rPr>
          <w:rFonts w:ascii="Arial" w:eastAsia="Times New Roman" w:hAnsi="Arial" w:cs="Times New Roman"/>
          <w:i/>
          <w:iCs/>
          <w:sz w:val="24"/>
          <w:szCs w:val="24"/>
          <w:lang w:val="es-ES" w:eastAsia="es-ES"/>
        </w:rPr>
        <w:t xml:space="preserve">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que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por R.D. Nº 833/2013 del 11 de julio de 2013, se dispone modificar el 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>Artículo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1 de la Res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olución de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fecha 27/6/13,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agregándose el pago del I.V.A. (manteniéndose las condiciones de reajuste);</w:t>
      </w:r>
    </w:p>
    <w:p w:rsidR="00C37431" w:rsidRDefault="00CC6C69" w:rsidP="00CC6C69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CC6C69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ab/>
        <w:t xml:space="preserve">                      </w:t>
      </w:r>
      <w:r w:rsidR="00C37431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 </w:t>
      </w:r>
      <w:r w:rsidRPr="00CC6C69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5)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que la Oficina Nacional de Servicio Civil y la Oficina de Planeamiento y Presupuesto no hacen observacio</w:t>
      </w:r>
      <w:r w:rsidR="00294B6A">
        <w:rPr>
          <w:rFonts w:ascii="Arial" w:eastAsia="Times New Roman" w:hAnsi="Arial" w:cs="Times New Roman"/>
          <w:sz w:val="24"/>
          <w:szCs w:val="24"/>
          <w:lang w:val="es-ES" w:eastAsia="es-ES"/>
        </w:rPr>
        <w:t>nes a la contratación propuesta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="00294B6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señalándose que </w:t>
      </w:r>
      <w:r w:rsidR="00294B6A"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se</w:t>
      </w:r>
      <w:r w:rsidR="00294B6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debe controlar que no se exceda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lastRenderedPageBreak/>
        <w:t xml:space="preserve">el </w:t>
      </w:r>
      <w:r w:rsidR="00294B6A">
        <w:rPr>
          <w:rFonts w:ascii="Arial" w:eastAsia="Times New Roman" w:hAnsi="Arial" w:cs="Times New Roman"/>
          <w:sz w:val="24"/>
          <w:szCs w:val="24"/>
          <w:lang w:val="es-ES" w:eastAsia="es-ES"/>
        </w:rPr>
        <w:t>límite establecido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-de una vez y media la remuneración de un Ministro de Estado- (que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según 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>I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nforme de la O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>ficina de Planeamiento y Presupu</w:t>
      </w:r>
      <w:r w:rsidR="00294B6A">
        <w:rPr>
          <w:rFonts w:ascii="Arial" w:eastAsia="Times New Roman" w:hAnsi="Arial" w:cs="Times New Roman"/>
          <w:sz w:val="24"/>
          <w:szCs w:val="24"/>
          <w:lang w:val="es-ES" w:eastAsia="es-ES"/>
        </w:rPr>
        <w:t>e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>sto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de fecha 8 de julio de 2013 es de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$ 155.286) entre todos los contratados para esa función</w:t>
      </w:r>
      <w:r w:rsidR="00294B6A"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y que los contratados cumplan los límites de acumulación y no se produzca la  superposición de horarios;  </w:t>
      </w:r>
    </w:p>
    <w:p w:rsidR="00CC6C69" w:rsidRPr="00CC6C69" w:rsidRDefault="00CC6C69" w:rsidP="00CC6C6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C6C6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CONSIDERANDO: 1)  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el régimen de la contratación propuesto  está regulado por el 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>A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rt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>ículo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23 de la Ley 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Nº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17.556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de 19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de setiembre de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2002, en la redacción dada por el </w:t>
      </w:r>
      <w:r w:rsidR="00294B6A">
        <w:rPr>
          <w:rFonts w:ascii="Arial" w:eastAsia="Times New Roman" w:hAnsi="Arial" w:cs="Times New Roman"/>
          <w:sz w:val="24"/>
          <w:szCs w:val="24"/>
          <w:lang w:val="es-ES" w:eastAsia="es-ES"/>
        </w:rPr>
        <w:t>A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rtículo 68 de la Ley 18</w:t>
      </w:r>
      <w:r w:rsidR="00294B6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.834 de 04.11.2011,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a través de una prohibición a los Directores de Entes Autónomos y Servicios Descentralizados del dominio industrial y comercial para contratar personal “</w:t>
      </w:r>
      <w:r w:rsidRPr="00CC6C69">
        <w:rPr>
          <w:rFonts w:ascii="Arial" w:eastAsia="Times New Roman" w:hAnsi="Arial" w:cs="Times New Roman"/>
          <w:iCs/>
          <w:sz w:val="24"/>
          <w:szCs w:val="24"/>
          <w:lang w:val="es-ES" w:eastAsia="es-ES"/>
        </w:rPr>
        <w:t>de confianza en tareas de asesoría, secretaría, etc.</w:t>
      </w:r>
      <w:r w:rsidR="00C37431">
        <w:rPr>
          <w:rFonts w:ascii="Arial" w:eastAsia="Times New Roman" w:hAnsi="Arial" w:cs="Times New Roman"/>
          <w:iCs/>
          <w:sz w:val="24"/>
          <w:szCs w:val="24"/>
          <w:lang w:val="es-ES" w:eastAsia="es-ES"/>
        </w:rPr>
        <w:t>,</w:t>
      </w:r>
      <w:r w:rsidRPr="00CC6C69">
        <w:rPr>
          <w:rFonts w:ascii="Arial" w:eastAsia="Times New Roman" w:hAnsi="Arial" w:cs="Times New Roman"/>
          <w:iCs/>
          <w:sz w:val="24"/>
          <w:szCs w:val="24"/>
          <w:lang w:val="es-ES" w:eastAsia="es-ES"/>
        </w:rPr>
        <w:t xml:space="preserve"> por un monto total mensual por  Director que supere el equivalente a una vez y media la remuneración de un Ministro de Estado, no pudiendo adicionar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CC6C69">
        <w:rPr>
          <w:rFonts w:ascii="Arial" w:eastAsia="Times New Roman" w:hAnsi="Arial" w:cs="Times New Roman"/>
          <w:iCs/>
          <w:sz w:val="24"/>
          <w:szCs w:val="24"/>
          <w:lang w:val="es-ES" w:eastAsia="es-ES"/>
        </w:rPr>
        <w:t>ninguna otra retribución en efectivo o en especie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 dicho</w:t>
      </w:r>
      <w:r w:rsidR="00294B6A">
        <w:rPr>
          <w:rFonts w:ascii="Arial" w:eastAsia="Times New Roman" w:hAnsi="Arial" w:cs="Times New Roman"/>
          <w:sz w:val="24"/>
          <w:szCs w:val="24"/>
          <w:lang w:val="es-ES" w:eastAsia="es-ES"/>
        </w:rPr>
        <w:t>s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>C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ontratos, tales como horas extras, compensaciones, productividad, participación en utilidades o fondos de participación</w:t>
      </w:r>
      <w:r w:rsidR="00294B6A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</w:p>
    <w:p w:rsidR="00CC6C69" w:rsidRPr="00CC6C69" w:rsidRDefault="00CC6C69" w:rsidP="00CC6C6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CC6C69">
        <w:rPr>
          <w:rFonts w:ascii="Arial" w:eastAsia="Times New Roman" w:hAnsi="Arial" w:cs="Arial"/>
          <w:b/>
          <w:sz w:val="24"/>
          <w:szCs w:val="24"/>
          <w:lang w:val="es-ES" w:eastAsia="es-ES"/>
        </w:rPr>
        <w:t>2)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que  la norma no prevé la formalización de un 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>C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ontrato, por lo cual es suficiente el acto administrativo (en este caso la Resolución) que contemple todas las condiciones de la contratación como asesor,  del referido profesional; 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</w:t>
      </w:r>
    </w:p>
    <w:p w:rsidR="00CC6C69" w:rsidRPr="00CC6C69" w:rsidRDefault="00CC6C69" w:rsidP="00CC6C69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</w:t>
      </w:r>
      <w:r w:rsidR="00C3743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</w:t>
      </w:r>
      <w:r w:rsidRPr="00CC6C69">
        <w:rPr>
          <w:rFonts w:ascii="Arial" w:eastAsia="Times New Roman" w:hAnsi="Arial" w:cs="Arial"/>
          <w:b/>
          <w:sz w:val="24"/>
          <w:szCs w:val="24"/>
          <w:lang w:val="es-ES" w:eastAsia="es-ES"/>
        </w:rPr>
        <w:t>3)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l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a contratación propuesta no corresponde a un funcionario, sino a un arrendamiento de servicios, bajo el régimen especial  establecido para los “asesores” (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>Artículo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23 de la Ley </w:t>
      </w:r>
      <w:r w:rsidR="00C3743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Nº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17.556) que se desempeñan directamente en tareas de asesoramiento a los integrantes del Directorio del Ente. Por ello los asesores contratados </w:t>
      </w:r>
      <w:r w:rsidR="00214C72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facturan por sus retribuciones -con el  IVA correspondiente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- y  por lo tanto al no percibir sueldo,     su imputación es con cargo  al Grupo 2 (Contrataciones de Servicios) y no en</w:t>
      </w:r>
      <w:r w:rsidR="00214C72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el  Grupo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“0” de sueldos; </w:t>
      </w:r>
    </w:p>
    <w:p w:rsidR="00CC6C69" w:rsidRPr="00CC6C69" w:rsidRDefault="00CC6C69" w:rsidP="00CC6C6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ab/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ab/>
        <w:t xml:space="preserve">          </w:t>
      </w:r>
      <w:r w:rsidRPr="00CC6C6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4) 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>que</w:t>
      </w:r>
      <w:r w:rsidR="00297C5E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in perjuicio de que en el presupuesto del Ente pueden haber estipuladas diversas partidas previstas en el </w:t>
      </w:r>
      <w:r w:rsidR="00234DB6">
        <w:rPr>
          <w:rFonts w:ascii="Arial" w:eastAsia="Times New Roman" w:hAnsi="Arial" w:cs="Times New Roman"/>
          <w:sz w:val="24"/>
          <w:szCs w:val="24"/>
          <w:lang w:val="es-ES" w:eastAsia="es-ES"/>
        </w:rPr>
        <w:t>G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rupo “0” (sueldos),  estas  corresponden a los “funcionarios” ya sea pa</w:t>
      </w:r>
      <w:r w:rsidR="00234DB6">
        <w:rPr>
          <w:rFonts w:ascii="Arial" w:eastAsia="Times New Roman" w:hAnsi="Arial" w:cs="Times New Roman"/>
          <w:sz w:val="24"/>
          <w:szCs w:val="24"/>
          <w:lang w:val="es-ES" w:eastAsia="es-ES"/>
        </w:rPr>
        <w:t>ra beneficios o compensaciones como a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limentación, mantenimiento nivel retributivo, SRV, cómputos telefónicos,  el propio servicio médico u otros. Al respecto   el referido </w:t>
      </w:r>
      <w:r w:rsidR="00297C5E">
        <w:rPr>
          <w:rFonts w:ascii="Arial" w:eastAsia="Times New Roman" w:hAnsi="Arial" w:cs="Times New Roman"/>
          <w:sz w:val="24"/>
          <w:szCs w:val="24"/>
          <w:lang w:val="es-ES" w:eastAsia="es-ES"/>
        </w:rPr>
        <w:t>A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rtículo 23 de la Ley </w:t>
      </w:r>
      <w:r w:rsidR="00297C5E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Nº </w:t>
      </w:r>
      <w:r w:rsidR="00234DB6">
        <w:rPr>
          <w:rFonts w:ascii="Arial" w:eastAsia="Times New Roman" w:hAnsi="Arial" w:cs="Times New Roman"/>
          <w:sz w:val="24"/>
          <w:szCs w:val="24"/>
          <w:lang w:val="es-ES" w:eastAsia="es-ES"/>
        </w:rPr>
        <w:t>17.556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es categórico y no admite excepciones en su cumplimiento, en cuanto a que no corresponde incorporar ninguno de estos beneficios  a los asesores</w:t>
      </w:r>
      <w:r w:rsidR="00234DB6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contratados por esta modalidad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, por lo cual en ningún caso puede otorgarse el derecho al servicio médico al asesor contratado;  </w:t>
      </w:r>
    </w:p>
    <w:p w:rsidR="00CC6C69" w:rsidRPr="00CC6C69" w:rsidRDefault="00CC6C69" w:rsidP="00CC6C69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CC6C6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                              </w:t>
      </w:r>
      <w:r w:rsidRPr="00CC6C69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 xml:space="preserve">5) </w:t>
      </w:r>
      <w:r w:rsidRPr="00CC6C69">
        <w:rPr>
          <w:rFonts w:ascii="Arial" w:eastAsia="Times New Roman" w:hAnsi="Arial" w:cs="Arial"/>
          <w:sz w:val="24"/>
          <w:szCs w:val="24"/>
          <w:lang w:val="es-MX" w:eastAsia="es-ES"/>
        </w:rPr>
        <w:t>que se co</w:t>
      </w:r>
      <w:r w:rsidR="00297C5E">
        <w:rPr>
          <w:rFonts w:ascii="Arial" w:eastAsia="Times New Roman" w:hAnsi="Arial" w:cs="Arial"/>
          <w:sz w:val="24"/>
          <w:szCs w:val="24"/>
          <w:lang w:val="es-MX" w:eastAsia="es-ES"/>
        </w:rPr>
        <w:t>m</w:t>
      </w:r>
      <w:r w:rsidRPr="00CC6C6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parte lo informado por la ONCS y la OPP, debiéndose controlar que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no </w:t>
      </w:r>
      <w:r w:rsidR="00234DB6">
        <w:rPr>
          <w:rFonts w:ascii="Arial" w:eastAsia="Times New Roman" w:hAnsi="Arial" w:cs="Times New Roman"/>
          <w:sz w:val="24"/>
          <w:szCs w:val="24"/>
          <w:lang w:val="es-ES" w:eastAsia="es-ES"/>
        </w:rPr>
        <w:t>se exceda el límite establecido -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de una vez y media la remuneración de un Ministro de Estado- entre todos los asesores contratados</w:t>
      </w:r>
      <w:r w:rsidR="00234DB6"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y </w:t>
      </w:r>
      <w:bookmarkStart w:id="0" w:name="_GoBack"/>
      <w:bookmarkEnd w:id="0"/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>que los contratados cumplan los límites de acumulación y no se produzca la  superposición de horarios</w:t>
      </w:r>
      <w:r w:rsidRPr="00CC6C69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 xml:space="preserve">, </w:t>
      </w:r>
      <w:r w:rsidRPr="00CC6C6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como en el 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presente caso en que el profesional es docente de la Universidad de la República; </w:t>
      </w:r>
    </w:p>
    <w:p w:rsidR="00CC6C69" w:rsidRPr="00CC6C69" w:rsidRDefault="00CC6C69" w:rsidP="00CC6C69">
      <w:pPr>
        <w:tabs>
          <w:tab w:val="left" w:pos="2127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CC6C69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ATENTO:</w:t>
      </w:r>
      <w:r w:rsidRPr="00CC6C6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 lo precedentemente expuesto;</w:t>
      </w:r>
    </w:p>
    <w:p w:rsidR="00CC6C69" w:rsidRPr="00CC6C69" w:rsidRDefault="00CC6C69" w:rsidP="00297C5E">
      <w:pPr>
        <w:keepNext/>
        <w:spacing w:after="0" w:line="360" w:lineRule="auto"/>
        <w:jc w:val="center"/>
        <w:outlineLvl w:val="5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  <w:r w:rsidRPr="00CC6C69">
        <w:rPr>
          <w:rFonts w:ascii="Arial" w:eastAsia="Times New Roman" w:hAnsi="Arial" w:cs="Arial"/>
          <w:b/>
          <w:sz w:val="24"/>
          <w:szCs w:val="20"/>
          <w:lang w:val="es-ES" w:eastAsia="es-ES"/>
        </w:rPr>
        <w:t>EL TRIBUNAL ACUERDA</w:t>
      </w:r>
    </w:p>
    <w:p w:rsidR="00CC6C69" w:rsidRPr="00CC6C69" w:rsidRDefault="00CC6C69" w:rsidP="00CC6C69">
      <w:pPr>
        <w:spacing w:after="0" w:line="360" w:lineRule="auto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CC6C69">
        <w:rPr>
          <w:rFonts w:ascii="Arial" w:eastAsia="Times New Roman" w:hAnsi="Arial" w:cs="Arial"/>
          <w:b/>
          <w:sz w:val="24"/>
          <w:szCs w:val="20"/>
          <w:lang w:val="es-ES" w:eastAsia="es-ES"/>
        </w:rPr>
        <w:t>1)</w:t>
      </w:r>
      <w:r w:rsidRPr="00CC6C69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Pr="00CC6C69">
        <w:rPr>
          <w:rFonts w:ascii="Arial" w:eastAsia="Times New Roman" w:hAnsi="Arial" w:cs="Arial"/>
          <w:sz w:val="24"/>
          <w:szCs w:val="20"/>
          <w:lang w:val="es-MX" w:eastAsia="es-ES"/>
        </w:rPr>
        <w:t xml:space="preserve">Evacuar la consulta en los términos expresados en los Considerandos de la presente Resolución; </w:t>
      </w:r>
    </w:p>
    <w:p w:rsidR="00CC6C69" w:rsidRDefault="00CC6C69" w:rsidP="00CC6C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C6C69">
        <w:rPr>
          <w:rFonts w:ascii="Arial" w:eastAsia="Times New Roman" w:hAnsi="Arial" w:cs="Arial"/>
          <w:b/>
          <w:sz w:val="24"/>
          <w:szCs w:val="24"/>
          <w:lang w:val="es-MX" w:eastAsia="es-ES"/>
        </w:rPr>
        <w:t>2)</w:t>
      </w:r>
      <w:r w:rsidRPr="00CC6C6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CC6C69">
        <w:rPr>
          <w:rFonts w:ascii="Arial" w:eastAsia="Times New Roman" w:hAnsi="Arial" w:cs="Arial"/>
          <w:sz w:val="24"/>
          <w:szCs w:val="24"/>
          <w:lang w:val="es-ES" w:eastAsia="es-ES"/>
        </w:rPr>
        <w:t>Comunicar al Contador Delegado.</w:t>
      </w:r>
    </w:p>
    <w:p w:rsidR="00297C5E" w:rsidRDefault="00297C5E" w:rsidP="00CC6C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97C5E" w:rsidRDefault="00297C5E" w:rsidP="00CC6C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97C5E" w:rsidRDefault="00297C5E" w:rsidP="00CC6C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97C5E" w:rsidRPr="00CC6C69" w:rsidRDefault="00297C5E" w:rsidP="00CC6C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mb</w:t>
      </w:r>
      <w:proofErr w:type="spellEnd"/>
      <w:proofErr w:type="gramEnd"/>
    </w:p>
    <w:p w:rsidR="00CC6C69" w:rsidRPr="00CC6C69" w:rsidRDefault="00CC6C69" w:rsidP="00CC6C69">
      <w:pPr>
        <w:spacing w:after="0" w:line="360" w:lineRule="auto"/>
        <w:ind w:firstLine="1080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C6C69" w:rsidRPr="00CC6C69" w:rsidRDefault="00CC6C69" w:rsidP="00CC6C69">
      <w:pPr>
        <w:spacing w:after="0" w:line="360" w:lineRule="auto"/>
        <w:ind w:firstLine="1080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A38A2" w:rsidRPr="00CC6C69" w:rsidRDefault="002A38A2" w:rsidP="00CC6C69">
      <w:pPr>
        <w:spacing w:after="0" w:line="360" w:lineRule="auto"/>
        <w:ind w:firstLine="851"/>
        <w:jc w:val="both"/>
        <w:rPr>
          <w:lang w:val="es-ES"/>
        </w:rPr>
      </w:pPr>
    </w:p>
    <w:sectPr w:rsidR="002A38A2" w:rsidRPr="00CC6C69" w:rsidSect="00297C5E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69"/>
    <w:rsid w:val="00214C72"/>
    <w:rsid w:val="00234DB6"/>
    <w:rsid w:val="00294B6A"/>
    <w:rsid w:val="00297C5E"/>
    <w:rsid w:val="002A38A2"/>
    <w:rsid w:val="00C37431"/>
    <w:rsid w:val="00CC6C69"/>
    <w:rsid w:val="00D2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tribunal1</cp:lastModifiedBy>
  <cp:revision>5</cp:revision>
  <cp:lastPrinted>2013-11-07T17:48:00Z</cp:lastPrinted>
  <dcterms:created xsi:type="dcterms:W3CDTF">2013-11-07T17:26:00Z</dcterms:created>
  <dcterms:modified xsi:type="dcterms:W3CDTF">2013-11-07T18:56:00Z</dcterms:modified>
</cp:coreProperties>
</file>