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08" w:rsidRDefault="00D52708">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D52708" w:rsidRDefault="00D52708">
      <w:pPr>
        <w:tabs>
          <w:tab w:val="left" w:pos="-720"/>
        </w:tabs>
        <w:suppressAutoHyphens/>
        <w:jc w:val="center"/>
        <w:rPr>
          <w:rFonts w:ascii="Helvetica" w:hAnsi="Helvetica"/>
          <w:b/>
          <w:lang w:val="es-ES_tradnl"/>
        </w:rPr>
      </w:pPr>
    </w:p>
    <w:p w:rsidR="00D52708" w:rsidRDefault="00D52708">
      <w:pPr>
        <w:tabs>
          <w:tab w:val="center" w:pos="4253"/>
        </w:tabs>
        <w:suppressAutoHyphens/>
        <w:jc w:val="center"/>
        <w:rPr>
          <w:rFonts w:ascii="Helvetica" w:hAnsi="Helvetica"/>
          <w:b/>
          <w:lang w:val="es-ES_tradnl"/>
        </w:rPr>
      </w:pPr>
      <w:r>
        <w:rPr>
          <w:rFonts w:ascii="Helvetica" w:hAnsi="Helvetica"/>
          <w:b/>
          <w:lang w:val="es-ES_tradnl"/>
        </w:rPr>
        <w:t>TRIBUNAL DE CUENTAS</w:t>
      </w:r>
    </w:p>
    <w:p w:rsidR="00D52708" w:rsidRDefault="00D52708">
      <w:pPr>
        <w:tabs>
          <w:tab w:val="left" w:pos="-720"/>
        </w:tabs>
        <w:suppressAutoHyphens/>
        <w:jc w:val="center"/>
        <w:rPr>
          <w:rFonts w:ascii="Helvetica" w:hAnsi="Helvetica"/>
          <w:b/>
          <w:lang w:val="es-ES_tradnl"/>
        </w:rPr>
      </w:pPr>
    </w:p>
    <w:p w:rsidR="00D52708" w:rsidRDefault="00D52708">
      <w:pPr>
        <w:tabs>
          <w:tab w:val="center" w:pos="4253"/>
        </w:tabs>
        <w:suppressAutoHyphens/>
        <w:jc w:val="center"/>
        <w:rPr>
          <w:rFonts w:ascii="Helvetica" w:hAnsi="Helvetica"/>
          <w:b/>
          <w:lang w:val="es-ES_tradnl"/>
        </w:rPr>
      </w:pPr>
      <w:r>
        <w:rPr>
          <w:rFonts w:ascii="Helvetica" w:hAnsi="Helvetica"/>
          <w:b/>
          <w:lang w:val="es-ES_tradnl"/>
        </w:rPr>
        <w:t xml:space="preserve">EN SESION DE FECHA  13 DE </w:t>
      </w:r>
      <w:r>
        <w:rPr>
          <w:rFonts w:ascii="Helvetica" w:hAnsi="Helvetica"/>
          <w:b/>
          <w:lang w:val="es-ES_tradnl"/>
        </w:rPr>
        <w:tab/>
        <w:t>NOVIEMBRE  DE  2013</w:t>
      </w:r>
    </w:p>
    <w:p w:rsidR="00D52708" w:rsidRDefault="00D52708">
      <w:pPr>
        <w:tabs>
          <w:tab w:val="center" w:pos="4253"/>
        </w:tabs>
        <w:suppressAutoHyphens/>
        <w:jc w:val="center"/>
        <w:rPr>
          <w:rFonts w:ascii="Helvetica" w:hAnsi="Helvetica"/>
          <w:b/>
          <w:lang w:val="es-ES_tradnl"/>
        </w:rPr>
      </w:pPr>
    </w:p>
    <w:p w:rsidR="00D52708" w:rsidRPr="00D52708" w:rsidRDefault="00D52708">
      <w:pPr>
        <w:tabs>
          <w:tab w:val="center" w:pos="4253"/>
        </w:tabs>
        <w:suppressAutoHyphens/>
        <w:jc w:val="center"/>
        <w:rPr>
          <w:rFonts w:ascii="Helvetica" w:hAnsi="Helvetica"/>
          <w:b/>
          <w:lang w:val="es-UY"/>
        </w:rPr>
      </w:pPr>
      <w:r w:rsidRPr="00D52708">
        <w:rPr>
          <w:rFonts w:ascii="Helvetica" w:hAnsi="Helvetica"/>
          <w:b/>
          <w:lang w:val="es-UY"/>
        </w:rPr>
        <w:t>(E. E. Nº 2013-17-1-0007106, Ent. N° 6105/13.)</w:t>
      </w:r>
    </w:p>
    <w:p w:rsidR="00D52708" w:rsidRPr="00D52708" w:rsidRDefault="00D52708">
      <w:pPr>
        <w:tabs>
          <w:tab w:val="center" w:pos="4253"/>
        </w:tabs>
        <w:suppressAutoHyphens/>
        <w:jc w:val="center"/>
        <w:rPr>
          <w:spacing w:val="-3"/>
          <w:lang w:val="es-UY"/>
        </w:rPr>
      </w:pPr>
    </w:p>
    <w:p w:rsidR="00D52708" w:rsidRPr="00D52708" w:rsidRDefault="00D52708">
      <w:pPr>
        <w:tabs>
          <w:tab w:val="center" w:pos="4253"/>
        </w:tabs>
        <w:suppressAutoHyphens/>
        <w:rPr>
          <w:spacing w:val="-3"/>
          <w:lang w:val="es-UY"/>
        </w:rPr>
      </w:pPr>
    </w:p>
    <w:p w:rsidR="0008117B" w:rsidRDefault="00BF79D9" w:rsidP="00D52708">
      <w:pPr>
        <w:spacing w:line="360" w:lineRule="auto"/>
        <w:ind w:firstLine="708"/>
        <w:jc w:val="both"/>
        <w:rPr>
          <w:rFonts w:cs="Arial"/>
        </w:rPr>
      </w:pPr>
      <w:r>
        <w:rPr>
          <w:rFonts w:cs="Arial"/>
          <w:b/>
        </w:rPr>
        <w:t>VISTO:</w:t>
      </w:r>
      <w:r>
        <w:rPr>
          <w:rFonts w:cs="Arial"/>
        </w:rPr>
        <w:t xml:space="preserve"> estas actuaciones remitidas por el Ministerio de Industria, Energía y Minería, relacionadas con el Convenio suscrito con la Comisión Honoraria Pro Erradicación de la Vivienda Rural Insalubre Dr. Alberto Gallinal Heber (MEVIR);</w:t>
      </w:r>
    </w:p>
    <w:p w:rsidR="0008117B" w:rsidRDefault="00BF79D9" w:rsidP="00D52708">
      <w:pPr>
        <w:spacing w:line="360" w:lineRule="auto"/>
        <w:ind w:firstLine="708"/>
        <w:jc w:val="both"/>
      </w:pPr>
      <w:r>
        <w:rPr>
          <w:b/>
          <w:bCs/>
        </w:rPr>
        <w:t>RESULTANDO:</w:t>
      </w:r>
      <w:r>
        <w:t xml:space="preserve"> </w:t>
      </w:r>
      <w:r>
        <w:rPr>
          <w:b/>
          <w:bCs/>
        </w:rPr>
        <w:t xml:space="preserve">1) </w:t>
      </w:r>
      <w:r>
        <w:t>que con fecha 13 de octubre de 2011, el MIEM y MEVIR suscribieron un Convenio cuyo objeto es la “puesta en marcha de un Proyecto Piloto de abastecimiento de energía eléctrica a una comunidad o comunidades aisladas de la red eléctrica a definir entre las partes, mediante la instalación de equipos de generación en base a fuentes renovables, con la previsión del debido respaldo a los efectos de asegurar la completa disponibilidad de energía a los habitantes de la comunidad o comunidades seleccionadas, y la instalación de las redes de distribución que se requieran, con criterios de eficiencia energética”</w:t>
      </w:r>
      <w:r>
        <w:rPr>
          <w:rFonts w:cs="Arial"/>
        </w:rPr>
        <w:t>;</w:t>
      </w:r>
    </w:p>
    <w:p w:rsidR="0008117B" w:rsidRDefault="00BF79D9" w:rsidP="00D52708">
      <w:pPr>
        <w:tabs>
          <w:tab w:val="left" w:pos="1800"/>
        </w:tabs>
        <w:spacing w:line="360" w:lineRule="auto"/>
        <w:ind w:firstLine="2552"/>
        <w:jc w:val="both"/>
      </w:pPr>
      <w:r>
        <w:rPr>
          <w:b/>
          <w:bCs/>
        </w:rPr>
        <w:t xml:space="preserve">2) </w:t>
      </w:r>
      <w:r>
        <w:t>que en el marco del Convenio, el MIEM transfirió a MEVIR la suma de $ 2.130.000, a los efectos de financiar la compra de equipos, su instalación, operación y mantenimiento iniciales, entre otros. El Contador Delegado ante el MIEM, intervino el gasto con fecha 4 de noviembre de 2011;</w:t>
      </w:r>
    </w:p>
    <w:p w:rsidR="0008117B" w:rsidRDefault="00BF79D9" w:rsidP="00D52708">
      <w:pPr>
        <w:tabs>
          <w:tab w:val="left" w:pos="1800"/>
        </w:tabs>
        <w:spacing w:line="360" w:lineRule="auto"/>
        <w:ind w:firstLine="2552"/>
        <w:jc w:val="both"/>
        <w:rPr>
          <w:rFonts w:cs="Arial"/>
        </w:rPr>
      </w:pPr>
      <w:r>
        <w:rPr>
          <w:b/>
          <w:bCs/>
        </w:rPr>
        <w:t>3)</w:t>
      </w:r>
      <w:r>
        <w:t xml:space="preserve"> que posteriormente, con fecha 28 de diciembre de 2012, se suscribió a</w:t>
      </w:r>
      <w:r w:rsidR="00F55BA4">
        <w:t>genci</w:t>
      </w:r>
      <w:r>
        <w:t>a al mencionado convenio, a los efectos de transferir la suma adicional de $ 2.130.000. Dicho gasto fue intervenido por el Contador Delegado con fecha 28 de diciembre de 2012</w:t>
      </w:r>
      <w:r>
        <w:rPr>
          <w:rFonts w:cs="Arial"/>
        </w:rPr>
        <w:t>;</w:t>
      </w:r>
    </w:p>
    <w:p w:rsidR="0008117B" w:rsidRDefault="00BF79D9" w:rsidP="00D52708">
      <w:pPr>
        <w:tabs>
          <w:tab w:val="left" w:pos="1800"/>
        </w:tabs>
        <w:spacing w:line="360" w:lineRule="auto"/>
        <w:ind w:firstLine="2552"/>
        <w:jc w:val="both"/>
        <w:rPr>
          <w:rFonts w:cs="Arial"/>
        </w:rPr>
      </w:pPr>
      <w:r>
        <w:rPr>
          <w:rFonts w:cs="Arial"/>
          <w:b/>
          <w:bCs/>
        </w:rPr>
        <w:lastRenderedPageBreak/>
        <w:t>4)</w:t>
      </w:r>
      <w:r>
        <w:rPr>
          <w:rFonts w:cs="Arial"/>
        </w:rPr>
        <w:t xml:space="preserve"> que en la oportunidad, se remite para su intervención, una segunda a</w:t>
      </w:r>
      <w:r w:rsidR="00F55BA4">
        <w:rPr>
          <w:rFonts w:cs="Arial"/>
        </w:rPr>
        <w:t>g</w:t>
      </w:r>
      <w:r>
        <w:rPr>
          <w:rFonts w:cs="Arial"/>
        </w:rPr>
        <w:t>en</w:t>
      </w:r>
      <w:r w:rsidR="00F55BA4">
        <w:rPr>
          <w:rFonts w:cs="Arial"/>
        </w:rPr>
        <w:t>ci</w:t>
      </w:r>
      <w:r>
        <w:rPr>
          <w:rFonts w:cs="Arial"/>
        </w:rPr>
        <w:t xml:space="preserve">a al Convenio suscrito, según la cual, a los efectos de la ejecución del Convenio en lo que refiere a llamados para </w:t>
      </w:r>
      <w:r w:rsidRPr="00D52708">
        <w:rPr>
          <w:rFonts w:cs="Arial"/>
          <w:spacing w:val="8"/>
        </w:rPr>
        <w:t>presentación de proyectos, se requieren fondos adicionales, por la suma de $</w:t>
      </w:r>
      <w:r>
        <w:rPr>
          <w:rFonts w:cs="Arial"/>
        </w:rPr>
        <w:t xml:space="preserve"> 2.130.000;</w:t>
      </w:r>
    </w:p>
    <w:p w:rsidR="0008117B" w:rsidRDefault="00BF79D9" w:rsidP="00D52708">
      <w:pPr>
        <w:tabs>
          <w:tab w:val="left" w:pos="1800"/>
        </w:tabs>
        <w:spacing w:line="360" w:lineRule="auto"/>
        <w:ind w:firstLine="2552"/>
        <w:jc w:val="both"/>
        <w:rPr>
          <w:rFonts w:cs="Arial"/>
        </w:rPr>
      </w:pPr>
      <w:r>
        <w:rPr>
          <w:rFonts w:cs="Arial"/>
          <w:b/>
        </w:rPr>
        <w:t xml:space="preserve">5) </w:t>
      </w:r>
      <w:r>
        <w:rPr>
          <w:rFonts w:cs="Arial"/>
        </w:rPr>
        <w:t>que se indica que a los efectos de la transferencia del ejercicio 2012, se solicitó a MEVIR la rendición de cuentas con informe de revisión limitada de la transferencia de 2011, dejando constancia el Jerarca de MEVIR del no uso de los fondos aún, esperando obtener todo el financiamiento correspondiente a DNE para terminar de tramitar las adquisiciones correspondientes. En atención a ello, también se consulta respecto de la interpretación de la Ordenanza Nº 77 sobre la aceptación de la Rendición correspondiente sin ejecución, en la medida que los montos transferidos no fueron suficientes;</w:t>
      </w:r>
    </w:p>
    <w:p w:rsidR="0008117B" w:rsidRDefault="00BF79D9" w:rsidP="00D52708">
      <w:pPr>
        <w:autoSpaceDE w:val="0"/>
        <w:autoSpaceDN w:val="0"/>
        <w:adjustRightInd w:val="0"/>
        <w:spacing w:line="360" w:lineRule="auto"/>
        <w:ind w:firstLine="708"/>
        <w:jc w:val="both"/>
      </w:pPr>
      <w:r>
        <w:rPr>
          <w:b/>
          <w:bCs/>
        </w:rPr>
        <w:t>CONSIDERANDO:</w:t>
      </w:r>
      <w:r>
        <w:t xml:space="preserve"> </w:t>
      </w:r>
      <w:r>
        <w:rPr>
          <w:b/>
        </w:rPr>
        <w:t>1)</w:t>
      </w:r>
      <w:r>
        <w:t xml:space="preserve">  que de acuerdo </w:t>
      </w:r>
      <w:r w:rsidR="00D52708">
        <w:t>con</w:t>
      </w:r>
      <w:r>
        <w:t xml:space="preserve"> lo previsto por el </w:t>
      </w:r>
      <w:r w:rsidR="00D52708">
        <w:t>A</w:t>
      </w:r>
      <w:r>
        <w:t>rt</w:t>
      </w:r>
      <w:r w:rsidR="00D52708">
        <w:t>ículo</w:t>
      </w:r>
      <w:r>
        <w:t xml:space="preserve"> 403 de la </w:t>
      </w:r>
      <w:r w:rsidR="00D52708">
        <w:t>L</w:t>
      </w:r>
      <w:r>
        <w:t xml:space="preserve">ey 18.719, al MIEM compete, a través de la Dirección Nacional de Energía: </w:t>
      </w:r>
      <w:r>
        <w:rPr>
          <w:rFonts w:cs="Arial"/>
          <w:color w:val="000000"/>
        </w:rPr>
        <w:t>diseñar, conducir y evaluar las políticas necesarias para el desarrollo y funcionamiento del sector energético del país, contemplando las distintas fuentes de suministro, la generación o producción de energía, su transporte y distribución, procurando el abastecimiento de las necesidades energéticas del país en condiciones costo eficientes, asegurando su utilización racional y velando por su acceso universal (</w:t>
      </w:r>
      <w:r w:rsidR="00F67778">
        <w:rPr>
          <w:rFonts w:cs="Arial"/>
          <w:color w:val="000000"/>
        </w:rPr>
        <w:t>Numer</w:t>
      </w:r>
      <w:r>
        <w:rPr>
          <w:rFonts w:cs="Arial"/>
          <w:color w:val="000000"/>
        </w:rPr>
        <w:t>al 1)</w:t>
      </w:r>
      <w:r>
        <w:t xml:space="preserve">; así como </w:t>
      </w:r>
      <w:r>
        <w:rPr>
          <w:rFonts w:cs="Arial"/>
          <w:color w:val="000000"/>
        </w:rPr>
        <w:t>promover el acceso universal a la energía en condiciones de seguridad y calidad adecuadas (N</w:t>
      </w:r>
      <w:r w:rsidR="00D52708">
        <w:rPr>
          <w:rFonts w:cs="Arial"/>
          <w:color w:val="000000"/>
        </w:rPr>
        <w:t>umer</w:t>
      </w:r>
      <w:r>
        <w:rPr>
          <w:rFonts w:cs="Arial"/>
          <w:color w:val="000000"/>
        </w:rPr>
        <w:t>al 6)</w:t>
      </w:r>
      <w:r>
        <w:tab/>
      </w:r>
    </w:p>
    <w:p w:rsidR="0008117B" w:rsidRDefault="00F67778" w:rsidP="00F67778">
      <w:pPr>
        <w:tabs>
          <w:tab w:val="left" w:pos="2160"/>
        </w:tabs>
        <w:autoSpaceDE w:val="0"/>
        <w:autoSpaceDN w:val="0"/>
        <w:adjustRightInd w:val="0"/>
        <w:spacing w:line="360" w:lineRule="auto"/>
        <w:ind w:firstLine="2835"/>
        <w:jc w:val="both"/>
      </w:pPr>
      <w:r>
        <w:rPr>
          <w:b/>
          <w:bCs/>
        </w:rPr>
        <w:t xml:space="preserve"> </w:t>
      </w:r>
      <w:r w:rsidR="00BF79D9">
        <w:rPr>
          <w:b/>
          <w:bCs/>
        </w:rPr>
        <w:t>2)</w:t>
      </w:r>
      <w:r w:rsidR="00BF79D9">
        <w:t xml:space="preserve"> que el </w:t>
      </w:r>
      <w:r>
        <w:t>A</w:t>
      </w:r>
      <w:r w:rsidR="00BF79D9">
        <w:t>rt</w:t>
      </w:r>
      <w:r>
        <w:t>ículo</w:t>
      </w:r>
      <w:r w:rsidR="00BF79D9">
        <w:t xml:space="preserve"> 473 de la </w:t>
      </w:r>
      <w:r>
        <w:t>L</w:t>
      </w:r>
      <w:r w:rsidR="00BF79D9">
        <w:t xml:space="preserve">ey 13.640, creó MEVIR como una persona pública no estatal, destinada a la construcción de viviendas higiénicas que sustituyan la habitaciones insalubres existentes en el medio rural y aledaños de las poblaciones urbanas del interior, previéndose en el </w:t>
      </w:r>
      <w:r>
        <w:t>A</w:t>
      </w:r>
      <w:r w:rsidR="00BF79D9">
        <w:t>rt</w:t>
      </w:r>
      <w:r>
        <w:t>ículo</w:t>
      </w:r>
      <w:r w:rsidR="00BF79D9">
        <w:t xml:space="preserve">  474 de la citada </w:t>
      </w:r>
      <w:r>
        <w:t>L</w:t>
      </w:r>
      <w:r w:rsidR="00BF79D9">
        <w:t xml:space="preserve">ey, así como en el </w:t>
      </w:r>
      <w:r>
        <w:t>A</w:t>
      </w:r>
      <w:r w:rsidR="00BF79D9">
        <w:t>rt</w:t>
      </w:r>
      <w:r>
        <w:t>ículo</w:t>
      </w:r>
      <w:r w:rsidR="00BF79D9">
        <w:t xml:space="preserve"> 2 </w:t>
      </w:r>
      <w:r>
        <w:t>L</w:t>
      </w:r>
      <w:r w:rsidR="00BF79D9">
        <w:t xml:space="preserve">ey 16.690, que a los </w:t>
      </w:r>
      <w:r w:rsidR="00BF79D9">
        <w:lastRenderedPageBreak/>
        <w:t>efectos del cumplimiento de sus cometidos, MEVIR podrá celebrar cualquier clase de convenios;</w:t>
      </w:r>
    </w:p>
    <w:p w:rsidR="0008117B" w:rsidRDefault="00BF79D9" w:rsidP="00F67778">
      <w:pPr>
        <w:tabs>
          <w:tab w:val="left" w:pos="2160"/>
        </w:tabs>
        <w:autoSpaceDE w:val="0"/>
        <w:autoSpaceDN w:val="0"/>
        <w:adjustRightInd w:val="0"/>
        <w:spacing w:line="360" w:lineRule="auto"/>
        <w:ind w:firstLine="2835"/>
        <w:jc w:val="both"/>
      </w:pPr>
      <w:r>
        <w:rPr>
          <w:b/>
        </w:rPr>
        <w:t>3)</w:t>
      </w:r>
      <w:r>
        <w:t xml:space="preserve"> que la a</w:t>
      </w:r>
      <w:r w:rsidR="00F55BA4">
        <w:t>g</w:t>
      </w:r>
      <w:r>
        <w:t>en</w:t>
      </w:r>
      <w:r w:rsidR="00F55BA4">
        <w:t>ci</w:t>
      </w:r>
      <w:r>
        <w:t xml:space="preserve">a a suscribirse se encuentra abarcada en la competencia y cometidos de los organismos intervinientes, al tiempo que la selección de las partes del acuerdo se adecua a lo previsto en el </w:t>
      </w:r>
      <w:r w:rsidR="00F67778">
        <w:t>A</w:t>
      </w:r>
      <w:r>
        <w:t>rt</w:t>
      </w:r>
      <w:r w:rsidR="00F67778">
        <w:t>ículo</w:t>
      </w:r>
      <w:r>
        <w:t xml:space="preserve"> 33, </w:t>
      </w:r>
      <w:r w:rsidR="00F67778">
        <w:t>L</w:t>
      </w:r>
      <w:r>
        <w:t>it</w:t>
      </w:r>
      <w:r w:rsidR="00F67778">
        <w:t>eral</w:t>
      </w:r>
      <w:r>
        <w:t xml:space="preserve"> </w:t>
      </w:r>
      <w:r w:rsidR="00F67778">
        <w:t>C</w:t>
      </w:r>
      <w:r>
        <w:t xml:space="preserve">), </w:t>
      </w:r>
      <w:r w:rsidR="00F67778">
        <w:t>Numer</w:t>
      </w:r>
      <w:r>
        <w:t>al 1) del TOCAF;</w:t>
      </w:r>
    </w:p>
    <w:p w:rsidR="0008117B" w:rsidRDefault="00BF79D9" w:rsidP="00F67778">
      <w:pPr>
        <w:tabs>
          <w:tab w:val="left" w:pos="2160"/>
        </w:tabs>
        <w:autoSpaceDE w:val="0"/>
        <w:autoSpaceDN w:val="0"/>
        <w:adjustRightInd w:val="0"/>
        <w:spacing w:line="360" w:lineRule="auto"/>
        <w:ind w:firstLine="2835"/>
        <w:jc w:val="both"/>
      </w:pPr>
      <w:r>
        <w:rPr>
          <w:b/>
        </w:rPr>
        <w:t xml:space="preserve">4) </w:t>
      </w:r>
      <w:r>
        <w:rPr>
          <w:rFonts w:cs="Arial"/>
          <w:lang w:val="es-MX"/>
        </w:rPr>
        <w:t xml:space="preserve">que la Ordenanza Nº 77 de este Tribunal reglamenta la obligación de rendir cuenta documentada o comprobable de su versión, utilización o gestión de los fondos públicos o bienes del Estado percibidos en carácter de recaudador, depositario, pagador, administrador o custodia, con o sin autorización legal prevista en los </w:t>
      </w:r>
      <w:r w:rsidR="00F67778">
        <w:rPr>
          <w:rFonts w:cs="Arial"/>
          <w:lang w:val="es-MX"/>
        </w:rPr>
        <w:t>A</w:t>
      </w:r>
      <w:r>
        <w:rPr>
          <w:rFonts w:cs="Arial"/>
          <w:lang w:val="es-MX"/>
        </w:rPr>
        <w:t xml:space="preserve">rtículos 132 y siguientes del TOCAF. Asimismo, el </w:t>
      </w:r>
      <w:r w:rsidR="00F67778">
        <w:rPr>
          <w:rFonts w:cs="Arial"/>
          <w:lang w:val="es-MX"/>
        </w:rPr>
        <w:t>A</w:t>
      </w:r>
      <w:r>
        <w:rPr>
          <w:rFonts w:cs="Arial"/>
        </w:rPr>
        <w:t>rtículo 416 de la Ley 17.930 establece que: “No podrán adelantarse fondos a rendir cuenta a personas físicas o jurídicas que no hayan presentado la rendición de cuentas de partidas recibidas con anterioridad”.</w:t>
      </w:r>
      <w:r>
        <w:t xml:space="preserve">  </w:t>
      </w:r>
    </w:p>
    <w:p w:rsidR="0008117B" w:rsidRDefault="00BF79D9" w:rsidP="00AE6551">
      <w:pPr>
        <w:tabs>
          <w:tab w:val="left" w:pos="2160"/>
        </w:tabs>
        <w:autoSpaceDE w:val="0"/>
        <w:autoSpaceDN w:val="0"/>
        <w:adjustRightInd w:val="0"/>
        <w:spacing w:line="360" w:lineRule="auto"/>
        <w:ind w:firstLine="709"/>
        <w:jc w:val="both"/>
        <w:rPr>
          <w:rFonts w:cs="Arial"/>
          <w:szCs w:val="19"/>
        </w:rPr>
      </w:pPr>
      <w:r>
        <w:t xml:space="preserve">Para el caso de que los fondos no se hayan ejecutado, la rendición de cuentas deberá justificar el no uso de dichos fondos;   </w:t>
      </w:r>
    </w:p>
    <w:p w:rsidR="0008117B" w:rsidRDefault="00BF79D9" w:rsidP="00AE6551">
      <w:pPr>
        <w:spacing w:line="360" w:lineRule="auto"/>
        <w:ind w:firstLine="708"/>
        <w:jc w:val="both"/>
        <w:rPr>
          <w:rFonts w:cs="Arial"/>
        </w:rPr>
      </w:pPr>
      <w:r>
        <w:rPr>
          <w:b/>
        </w:rPr>
        <w:t>A</w:t>
      </w:r>
      <w:r>
        <w:rPr>
          <w:rFonts w:cs="Arial"/>
          <w:b/>
          <w:bCs/>
        </w:rPr>
        <w:t>TENTO:</w:t>
      </w:r>
      <w:r>
        <w:rPr>
          <w:rFonts w:cs="Arial"/>
        </w:rPr>
        <w:t xml:space="preserve"> a lo dispuesto por el </w:t>
      </w:r>
      <w:r w:rsidR="00AE6551">
        <w:rPr>
          <w:rFonts w:cs="Arial"/>
        </w:rPr>
        <w:t>A</w:t>
      </w:r>
      <w:r>
        <w:rPr>
          <w:rFonts w:cs="Arial"/>
        </w:rPr>
        <w:t>rt</w:t>
      </w:r>
      <w:r w:rsidR="00AE6551">
        <w:rPr>
          <w:rFonts w:cs="Arial"/>
        </w:rPr>
        <w:t>ículo</w:t>
      </w:r>
      <w:r>
        <w:rPr>
          <w:rFonts w:cs="Arial"/>
        </w:rPr>
        <w:t xml:space="preserve"> 211 </w:t>
      </w:r>
      <w:r w:rsidR="00AE6551">
        <w:rPr>
          <w:rFonts w:cs="Arial"/>
        </w:rPr>
        <w:t>L</w:t>
      </w:r>
      <w:r>
        <w:rPr>
          <w:rFonts w:cs="Arial"/>
        </w:rPr>
        <w:t>iteral B), 212 y 228 de la Constitución de la República;</w:t>
      </w:r>
    </w:p>
    <w:p w:rsidR="0008117B" w:rsidRDefault="00BF79D9">
      <w:pPr>
        <w:spacing w:line="360" w:lineRule="auto"/>
        <w:jc w:val="center"/>
        <w:rPr>
          <w:b/>
        </w:rPr>
      </w:pPr>
      <w:r>
        <w:rPr>
          <w:b/>
        </w:rPr>
        <w:t>EL TRIBUNAL ACUERDA</w:t>
      </w:r>
    </w:p>
    <w:p w:rsidR="0008117B" w:rsidRDefault="00AE6551" w:rsidP="00AE6551">
      <w:pPr>
        <w:spacing w:line="360" w:lineRule="auto"/>
        <w:jc w:val="both"/>
      </w:pPr>
      <w:r w:rsidRPr="00AE6551">
        <w:rPr>
          <w:b/>
        </w:rPr>
        <w:t>1)</w:t>
      </w:r>
      <w:r>
        <w:t xml:space="preserve"> </w:t>
      </w:r>
      <w:r w:rsidR="00BF79D9">
        <w:t>No formular observ</w:t>
      </w:r>
      <w:r>
        <w:t>aciones al convenio a suscribir</w:t>
      </w:r>
      <w:r w:rsidR="00BF79D9">
        <w:t>;</w:t>
      </w:r>
    </w:p>
    <w:p w:rsidR="0008117B" w:rsidRDefault="00AE6551" w:rsidP="00AE6551">
      <w:pPr>
        <w:spacing w:line="360" w:lineRule="auto"/>
        <w:ind w:left="284" w:hanging="284"/>
        <w:jc w:val="both"/>
      </w:pPr>
      <w:r w:rsidRPr="00AE6551">
        <w:rPr>
          <w:rFonts w:cs="Arial"/>
          <w:b/>
        </w:rPr>
        <w:t>2)</w:t>
      </w:r>
      <w:r>
        <w:rPr>
          <w:rFonts w:cs="Arial"/>
          <w:lang w:val="es-UY"/>
        </w:rPr>
        <w:t xml:space="preserve"> </w:t>
      </w:r>
      <w:r w:rsidR="00BF79D9">
        <w:rPr>
          <w:rFonts w:cs="Arial"/>
          <w:lang w:val="es-UY"/>
        </w:rPr>
        <w:t xml:space="preserve">Dictada la Resolución por el ordenador competente, cométese al Contador </w:t>
      </w:r>
      <w:r>
        <w:rPr>
          <w:rFonts w:cs="Arial"/>
          <w:lang w:val="es-UY"/>
        </w:rPr>
        <w:t>Auditor destacado</w:t>
      </w:r>
      <w:r w:rsidR="00BF79D9">
        <w:rPr>
          <w:rFonts w:cs="Arial"/>
          <w:lang w:val="es-UY"/>
        </w:rPr>
        <w:t xml:space="preserve"> </w:t>
      </w:r>
      <w:r>
        <w:rPr>
          <w:rFonts w:cs="Arial"/>
          <w:lang w:val="es-UY"/>
        </w:rPr>
        <w:t>ante</w:t>
      </w:r>
      <w:r w:rsidR="00F55BA4">
        <w:rPr>
          <w:rFonts w:cs="Arial"/>
          <w:lang w:val="es-UY"/>
        </w:rPr>
        <w:t xml:space="preserve"> el MIEM</w:t>
      </w:r>
      <w:bookmarkStart w:id="0" w:name="_GoBack"/>
      <w:bookmarkEnd w:id="0"/>
      <w:r>
        <w:rPr>
          <w:rFonts w:cs="Arial"/>
          <w:lang w:val="es-UY"/>
        </w:rPr>
        <w:t xml:space="preserve"> la</w:t>
      </w:r>
      <w:r w:rsidR="00BF79D9">
        <w:rPr>
          <w:rFonts w:cs="Arial"/>
          <w:lang w:val="es-UY"/>
        </w:rPr>
        <w:t xml:space="preserve"> intervención del gasto correspondiente por hasta la suma de $ 2:130.000 con cargo a rubro adecuado con disponibilidad suficiente, </w:t>
      </w:r>
      <w:r w:rsidR="00BF79D9">
        <w:rPr>
          <w:rFonts w:cs="Arial"/>
          <w:lang w:val="es-MX"/>
        </w:rPr>
        <w:t xml:space="preserve"> previo control </w:t>
      </w:r>
      <w:r w:rsidR="00BF79D9">
        <w:rPr>
          <w:rFonts w:cs="Arial"/>
        </w:rPr>
        <w:t>del cumplimiento de la rendición de cuentas de la última transferencia efectuada en el marco del co</w:t>
      </w:r>
      <w:r>
        <w:rPr>
          <w:rFonts w:cs="Arial"/>
        </w:rPr>
        <w:t>nvenio, conforme lo dispone el A</w:t>
      </w:r>
      <w:r w:rsidR="00BF79D9">
        <w:rPr>
          <w:rFonts w:cs="Arial"/>
        </w:rPr>
        <w:t xml:space="preserve">rtículo 132 del TOCAF y el </w:t>
      </w:r>
      <w:r>
        <w:rPr>
          <w:rFonts w:cs="Arial"/>
        </w:rPr>
        <w:t>A</w:t>
      </w:r>
      <w:r w:rsidR="00BF79D9">
        <w:rPr>
          <w:rFonts w:cs="Arial"/>
        </w:rPr>
        <w:t xml:space="preserve">rtículo 416 de la </w:t>
      </w:r>
      <w:r>
        <w:rPr>
          <w:rFonts w:cs="Arial"/>
        </w:rPr>
        <w:t>L</w:t>
      </w:r>
      <w:r w:rsidR="00BF79D9">
        <w:rPr>
          <w:rFonts w:cs="Arial"/>
        </w:rPr>
        <w:t>ey 17.930</w:t>
      </w:r>
      <w:r w:rsidR="00BF79D9">
        <w:t>;</w:t>
      </w:r>
    </w:p>
    <w:p w:rsidR="0008117B" w:rsidRDefault="00AE6551" w:rsidP="00AE6551">
      <w:pPr>
        <w:spacing w:line="360" w:lineRule="auto"/>
        <w:jc w:val="both"/>
      </w:pPr>
      <w:r w:rsidRPr="00AE6551">
        <w:rPr>
          <w:b/>
        </w:rPr>
        <w:t>3)</w:t>
      </w:r>
      <w:r>
        <w:rPr>
          <w:b/>
        </w:rPr>
        <w:t xml:space="preserve"> </w:t>
      </w:r>
      <w:r w:rsidR="00BF79D9">
        <w:t>De la partida entregada se deberá rendir cuenta;</w:t>
      </w:r>
    </w:p>
    <w:p w:rsidR="00BF79D9" w:rsidRDefault="00BF79D9" w:rsidP="00AE6551">
      <w:pPr>
        <w:spacing w:line="360" w:lineRule="auto"/>
        <w:jc w:val="both"/>
      </w:pPr>
    </w:p>
    <w:p w:rsidR="0008117B" w:rsidRDefault="00AE6551" w:rsidP="00AE6551">
      <w:pPr>
        <w:spacing w:line="360" w:lineRule="auto"/>
        <w:jc w:val="both"/>
      </w:pPr>
      <w:r w:rsidRPr="00AE6551">
        <w:rPr>
          <w:b/>
        </w:rPr>
        <w:t>4)</w:t>
      </w:r>
      <w:r>
        <w:t xml:space="preserve"> </w:t>
      </w:r>
      <w:r w:rsidR="00BF79D9">
        <w:t xml:space="preserve">Comunicar al Contador </w:t>
      </w:r>
      <w:r>
        <w:t>Auditor</w:t>
      </w:r>
      <w:r w:rsidR="00BF79D9">
        <w:t>;</w:t>
      </w:r>
      <w:r>
        <w:t xml:space="preserve"> y</w:t>
      </w:r>
    </w:p>
    <w:p w:rsidR="0008117B" w:rsidRDefault="00AE6551" w:rsidP="00AE6551">
      <w:pPr>
        <w:spacing w:line="360" w:lineRule="auto"/>
      </w:pPr>
      <w:r w:rsidRPr="00AE6551">
        <w:rPr>
          <w:b/>
        </w:rPr>
        <w:t>5)</w:t>
      </w:r>
      <w:r>
        <w:t xml:space="preserve"> </w:t>
      </w:r>
      <w:r w:rsidR="00BF79D9">
        <w:t>Devolver los antecedentes.</w:t>
      </w:r>
    </w:p>
    <w:p w:rsidR="00BF79D9" w:rsidRDefault="00BF79D9" w:rsidP="00AE6551">
      <w:pPr>
        <w:spacing w:line="360" w:lineRule="auto"/>
      </w:pPr>
    </w:p>
    <w:p w:rsidR="00BF79D9" w:rsidRDefault="00BF79D9" w:rsidP="00AE6551">
      <w:pPr>
        <w:spacing w:line="360" w:lineRule="auto"/>
      </w:pPr>
    </w:p>
    <w:p w:rsidR="00BF79D9" w:rsidRDefault="00BF79D9" w:rsidP="00AE6551">
      <w:pPr>
        <w:spacing w:line="360" w:lineRule="auto"/>
      </w:pPr>
    </w:p>
    <w:p w:rsidR="00BF79D9" w:rsidRDefault="00BF79D9" w:rsidP="00AE6551">
      <w:pPr>
        <w:spacing w:line="360" w:lineRule="auto"/>
      </w:pPr>
    </w:p>
    <w:p w:rsidR="00BF79D9" w:rsidRDefault="00BF79D9" w:rsidP="00AE6551">
      <w:pPr>
        <w:spacing w:line="360" w:lineRule="auto"/>
      </w:pPr>
    </w:p>
    <w:p w:rsidR="00BF79D9" w:rsidRDefault="00BF79D9" w:rsidP="00AE6551">
      <w:pPr>
        <w:spacing w:line="360" w:lineRule="auto"/>
      </w:pPr>
      <w:r>
        <w:t>cr</w:t>
      </w:r>
    </w:p>
    <w:sectPr w:rsidR="00BF79D9" w:rsidSect="00BF79D9">
      <w:footerReference w:type="even" r:id="rId8"/>
      <w:footerReference w:type="default" r:id="rId9"/>
      <w:pgSz w:w="11906" w:h="16838" w:code="9"/>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7B" w:rsidRDefault="00BF79D9">
      <w:r>
        <w:separator/>
      </w:r>
    </w:p>
  </w:endnote>
  <w:endnote w:type="continuationSeparator" w:id="0">
    <w:p w:rsidR="0008117B" w:rsidRDefault="00BF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7B" w:rsidRDefault="00BF79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8117B" w:rsidRDefault="0008117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7B" w:rsidRDefault="00BF79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5BA4">
      <w:rPr>
        <w:rStyle w:val="Nmerodepgina"/>
        <w:noProof/>
      </w:rPr>
      <w:t>3</w:t>
    </w:r>
    <w:r>
      <w:rPr>
        <w:rStyle w:val="Nmerodepgina"/>
      </w:rPr>
      <w:fldChar w:fldCharType="end"/>
    </w:r>
  </w:p>
  <w:p w:rsidR="0008117B" w:rsidRDefault="0008117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7B" w:rsidRDefault="00BF79D9">
      <w:r>
        <w:separator/>
      </w:r>
    </w:p>
  </w:footnote>
  <w:footnote w:type="continuationSeparator" w:id="0">
    <w:p w:rsidR="0008117B" w:rsidRDefault="00BF7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E13"/>
    <w:multiLevelType w:val="hybridMultilevel"/>
    <w:tmpl w:val="F9E8E84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515474E"/>
    <w:multiLevelType w:val="hybridMultilevel"/>
    <w:tmpl w:val="CA3A90BE"/>
    <w:lvl w:ilvl="0" w:tplc="C96A9B7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C7E101B"/>
    <w:multiLevelType w:val="hybridMultilevel"/>
    <w:tmpl w:val="3FBEA7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708"/>
    <w:rsid w:val="0008117B"/>
    <w:rsid w:val="00AE6551"/>
    <w:rsid w:val="00BF79D9"/>
    <w:rsid w:val="00D52708"/>
    <w:rsid w:val="00F55BA4"/>
    <w:rsid w:val="00F677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qFormat/>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independiente">
    <w:name w:val="Body Text"/>
    <w:basedOn w:val="Normal"/>
    <w:semiHidden/>
    <w:pPr>
      <w:spacing w:line="360" w:lineRule="auto"/>
      <w:jc w:val="both"/>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customStyle="1" w:styleId="apple-converted-space">
    <w:name w:val="apple-converted-space"/>
    <w:basedOn w:val="Fuentedeprrafoprede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Carpeta 221014</vt:lpstr>
    </vt:vector>
  </TitlesOfParts>
  <Company>Tribunal de Cuentas de la República</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221014</dc:title>
  <dc:subject/>
  <dc:creator>TRIBUNAL1</dc:creator>
  <cp:keywords/>
  <dc:description/>
  <cp:lastModifiedBy>Miriam Cristina Rivero</cp:lastModifiedBy>
  <cp:revision>2</cp:revision>
  <cp:lastPrinted>2013-11-18T18:12:00Z</cp:lastPrinted>
  <dcterms:created xsi:type="dcterms:W3CDTF">2013-11-18T18:12:00Z</dcterms:created>
  <dcterms:modified xsi:type="dcterms:W3CDTF">2013-11-18T18:12:00Z</dcterms:modified>
</cp:coreProperties>
</file>