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08" w:rsidRDefault="00252B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52B08" w:rsidRDefault="00252B0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2B08" w:rsidRDefault="00252B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52B08" w:rsidRDefault="00252B0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2B08" w:rsidRDefault="00252B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13 DE </w:t>
      </w:r>
      <w:r>
        <w:rPr>
          <w:rFonts w:ascii="Helvetica" w:hAnsi="Helvetica"/>
          <w:b/>
          <w:lang w:val="es-ES_tradnl"/>
        </w:rPr>
        <w:tab/>
        <w:t>NOVIEMBRE  DE  2013</w:t>
      </w:r>
    </w:p>
    <w:p w:rsidR="00252B08" w:rsidRDefault="00252B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52B08" w:rsidRPr="00252B08" w:rsidRDefault="00252B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52B08">
        <w:rPr>
          <w:rFonts w:ascii="Helvetica" w:hAnsi="Helvetica"/>
          <w:b/>
          <w:lang w:val="es-UY"/>
        </w:rPr>
        <w:t xml:space="preserve">(E. E. Nº 2013-17-1-0006547, </w:t>
      </w:r>
      <w:proofErr w:type="spellStart"/>
      <w:r w:rsidRPr="00252B08">
        <w:rPr>
          <w:rFonts w:ascii="Helvetica" w:hAnsi="Helvetica"/>
          <w:b/>
          <w:lang w:val="es-UY"/>
        </w:rPr>
        <w:t>Ent</w:t>
      </w:r>
      <w:proofErr w:type="spellEnd"/>
      <w:r w:rsidRPr="00252B08">
        <w:rPr>
          <w:rFonts w:ascii="Helvetica" w:hAnsi="Helvetica"/>
          <w:b/>
          <w:lang w:val="es-UY"/>
        </w:rPr>
        <w:t>. N° 5710/13.)</w:t>
      </w:r>
    </w:p>
    <w:p w:rsidR="00252B08" w:rsidRPr="00252B08" w:rsidRDefault="00252B08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821891" w:rsidRDefault="00821891" w:rsidP="00252B08">
      <w:pPr>
        <w:pStyle w:val="Sangradetextonormal"/>
        <w:jc w:val="both"/>
      </w:pPr>
      <w:r>
        <w:rPr>
          <w:b/>
          <w:bCs/>
        </w:rPr>
        <w:t xml:space="preserve">VISTO: </w:t>
      </w:r>
      <w:r>
        <w:t>las actuaciones remitidas por el Ministerio de Economía y Finanzas (M.E.F.), relacionadas con el Convenio de Cooperación Técnica No Reembolsable Nº ATN/ KP-13942-UR “Fortalecimiento del Catastro Nacional”, celebrado con el Banco Interamericano de Desarrollo (B.I.D);</w:t>
      </w:r>
    </w:p>
    <w:p w:rsidR="00821891" w:rsidRDefault="00821891" w:rsidP="00252B08">
      <w:pPr>
        <w:pStyle w:val="Sangradetextonormal"/>
        <w:jc w:val="both"/>
      </w:pPr>
      <w:r>
        <w:rPr>
          <w:b/>
          <w:bCs/>
        </w:rPr>
        <w:t xml:space="preserve">RESULTANDO: 1)  </w:t>
      </w:r>
      <w:r w:rsidR="00026647" w:rsidRPr="00026647">
        <w:rPr>
          <w:bCs/>
        </w:rPr>
        <w:t>que</w:t>
      </w:r>
      <w:r w:rsidR="00026647">
        <w:rPr>
          <w:b/>
          <w:bCs/>
        </w:rPr>
        <w:t xml:space="preserve"> </w:t>
      </w:r>
      <w:r w:rsidR="00026647">
        <w:t xml:space="preserve">el </w:t>
      </w:r>
      <w:r>
        <w:t xml:space="preserve">objeto </w:t>
      </w:r>
      <w:r w:rsidR="00026647">
        <w:t>del mismo</w:t>
      </w:r>
      <w:r>
        <w:t xml:space="preserve"> consiste en  formalizar los términos y las condiciones para el otorgamiento de una cooperación técnica no reembolsable hasta por el monto de U$S 500.000, para financiar la adquisición de bienes y servicios relacionados y la selección y contratación de consultores  necesarios para la realización de un proyecto  para al fortalecimiento del Catastro Nacional, a través de la modernización de sus sistemas de información y de la conectividad de sus oficinas;</w:t>
      </w:r>
    </w:p>
    <w:p w:rsidR="00821891" w:rsidRDefault="00252B08" w:rsidP="00252B08">
      <w:pPr>
        <w:pStyle w:val="Sangradetextonormal"/>
        <w:ind w:firstLine="2552"/>
        <w:jc w:val="both"/>
      </w:pPr>
      <w:r>
        <w:rPr>
          <w:b/>
          <w:bCs/>
        </w:rPr>
        <w:t xml:space="preserve"> </w:t>
      </w:r>
      <w:r w:rsidR="00821891">
        <w:rPr>
          <w:b/>
          <w:bCs/>
        </w:rPr>
        <w:t>2)</w:t>
      </w:r>
      <w:r w:rsidR="00821891">
        <w:t xml:space="preserve"> que se establece que el proyecto  de fortalecimiento del Catastro Nacional consta de los siguientes tres componentes: </w:t>
      </w:r>
      <w:r w:rsidR="00821891">
        <w:rPr>
          <w:b/>
          <w:bCs/>
        </w:rPr>
        <w:t>a)</w:t>
      </w:r>
      <w:r w:rsidR="00821891">
        <w:t xml:space="preserve"> diagnóstico y propuesta para mejorar y unificar los servicios virtuales proporcionados por el Catastro Nacional, </w:t>
      </w:r>
      <w:r w:rsidR="00821891">
        <w:rPr>
          <w:b/>
          <w:bCs/>
        </w:rPr>
        <w:t>b)</w:t>
      </w:r>
      <w:r w:rsidR="00821891">
        <w:t xml:space="preserve"> intercambio de  la experiencia de Corea en la modernización del Catastro y  </w:t>
      </w:r>
      <w:r w:rsidR="00821891">
        <w:rPr>
          <w:b/>
          <w:bCs/>
        </w:rPr>
        <w:t>c)</w:t>
      </w:r>
      <w:r w:rsidR="00821891">
        <w:t xml:space="preserve"> desarrollo de la Sede Electrónica del Catastro Nacional;</w:t>
      </w:r>
    </w:p>
    <w:p w:rsidR="00821891" w:rsidRDefault="00252B08" w:rsidP="00252B08">
      <w:pPr>
        <w:pStyle w:val="Sangradetextonormal"/>
        <w:ind w:firstLine="2552"/>
        <w:jc w:val="both"/>
      </w:pPr>
      <w:r>
        <w:rPr>
          <w:b/>
          <w:bCs/>
        </w:rPr>
        <w:t xml:space="preserve"> </w:t>
      </w:r>
      <w:r w:rsidR="00821891">
        <w:rPr>
          <w:b/>
          <w:bCs/>
        </w:rPr>
        <w:t>3)</w:t>
      </w:r>
      <w:r w:rsidR="00821891">
        <w:t xml:space="preserve"> que se establece que el costo estimado del proyecto es el equivalente a U$S 535.000, que incluyen U$S 500.000 financiados por el Fondo de Reducción de la Pobreza de Corea, y U$S 35.000 por la contraparte proporcionada en especie, que corresponden al tiempo de los funcionarios públicos;</w:t>
      </w:r>
    </w:p>
    <w:p w:rsidR="00821891" w:rsidRDefault="00821891" w:rsidP="00252B08">
      <w:pPr>
        <w:pStyle w:val="Sangradetextonormal"/>
        <w:ind w:firstLine="2552"/>
        <w:jc w:val="both"/>
      </w:pPr>
      <w:r>
        <w:rPr>
          <w:b/>
          <w:bCs/>
        </w:rPr>
        <w:t>4)</w:t>
      </w:r>
      <w:r>
        <w:t xml:space="preserve"> que se establece que el MEF, a través de su Unidad Coordinadora de Proyectos (UCP), será el organismo ejecutor del Proyecto. El </w:t>
      </w:r>
      <w:r>
        <w:lastRenderedPageBreak/>
        <w:t xml:space="preserve">equipo técnico estará a cargo del Director Nacional de Catastro quien será responsable de: </w:t>
      </w:r>
      <w:r>
        <w:rPr>
          <w:b/>
          <w:bCs/>
        </w:rPr>
        <w:t>a)</w:t>
      </w:r>
      <w:r>
        <w:t xml:space="preserve"> la colaboración con el Banco en todos los aspectos relacionados con el proyecto y </w:t>
      </w:r>
      <w:r>
        <w:rPr>
          <w:b/>
          <w:bCs/>
        </w:rPr>
        <w:t>b)</w:t>
      </w:r>
      <w:r>
        <w:t xml:space="preserve"> la coordinación de las diferentes actividades de cada componente. En tanto, la UCP será responsable de: </w:t>
      </w:r>
      <w:r>
        <w:rPr>
          <w:b/>
          <w:bCs/>
        </w:rPr>
        <w:t>a)</w:t>
      </w:r>
      <w:r>
        <w:t xml:space="preserve"> la realización de la</w:t>
      </w:r>
      <w:r w:rsidR="0052550C">
        <w:t>s</w:t>
      </w:r>
      <w:r>
        <w:t xml:space="preserve"> diferentes adquisiciones, </w:t>
      </w:r>
      <w:r>
        <w:rPr>
          <w:b/>
          <w:bCs/>
        </w:rPr>
        <w:t>b)</w:t>
      </w:r>
      <w:r>
        <w:t xml:space="preserve"> actuar</w:t>
      </w:r>
      <w:r w:rsidR="0052550C">
        <w:t xml:space="preserve"> como contraparte en la auditorí</w:t>
      </w:r>
      <w:r>
        <w:t xml:space="preserve">a del proyecto y </w:t>
      </w:r>
      <w:r>
        <w:rPr>
          <w:b/>
          <w:bCs/>
        </w:rPr>
        <w:t>c)</w:t>
      </w:r>
      <w:r>
        <w:t xml:space="preserve"> la supervisión financiera de la ejecución del proyecto;</w:t>
      </w:r>
    </w:p>
    <w:p w:rsidR="00821891" w:rsidRDefault="00821891" w:rsidP="00252B08">
      <w:pPr>
        <w:pStyle w:val="Sangradetextonormal"/>
        <w:ind w:firstLine="2552"/>
        <w:jc w:val="both"/>
      </w:pPr>
      <w:r>
        <w:rPr>
          <w:b/>
          <w:bCs/>
        </w:rPr>
        <w:t>5)</w:t>
      </w:r>
      <w:r>
        <w:t xml:space="preserve"> que se establece que el plazo para la ejecución del proyecto será de veinticuatro meses, contados a partir de la fecha de vigencia del Convenio. El plazo para el desembolso de los recursos de la contribución será de treinta y seis meses, contados a partir de esa misma fecha. Cualquier parte de la contribución no utilizada vencido el plazo antedicho quedará cancelada. Los plazos referidos y otros establecidos en el convenio sólo podrán ser ampliados por razones justificadas, con el escrito del Banco;</w:t>
      </w:r>
    </w:p>
    <w:p w:rsidR="00821891" w:rsidRDefault="00821891" w:rsidP="00252B08">
      <w:pPr>
        <w:pStyle w:val="Sangradetextonormal"/>
        <w:ind w:firstLine="2552"/>
        <w:jc w:val="both"/>
      </w:pPr>
      <w:r>
        <w:rPr>
          <w:b/>
          <w:bCs/>
        </w:rPr>
        <w:t xml:space="preserve">6) </w:t>
      </w:r>
      <w:r>
        <w:t xml:space="preserve">que se establece que los recursos de la contribución sólo podrán usarse para la contratación de consultores y para la adquisición de bienes y la contratación  de servicios diferentes de consultoría de los países miembros del Banco. En consecuencia, los procedimientos y las bases </w:t>
      </w:r>
      <w:r w:rsidR="0052550C">
        <w:t>específicas</w:t>
      </w:r>
      <w:r>
        <w:t xml:space="preserve"> de las licitaciones u otras formas de contratación de los servicios y bienes financiados con recursos de la contribución deberán permitir la libre concurrencia de proveedores de bienes, de servicios diferentes de consultoría y de consultores de dichos países;</w:t>
      </w:r>
    </w:p>
    <w:p w:rsidR="00821891" w:rsidRDefault="00821891" w:rsidP="002B2A88">
      <w:pPr>
        <w:pStyle w:val="Sangradetextonormal"/>
        <w:ind w:firstLine="2552"/>
        <w:jc w:val="both"/>
      </w:pPr>
      <w:r>
        <w:rPr>
          <w:b/>
          <w:bCs/>
        </w:rPr>
        <w:t>7)</w:t>
      </w:r>
      <w:r>
        <w:t xml:space="preserve"> que se adjunta copia de Resolución del Poder Ejecutivo dictada el 25/9/13 por el cual se aprueba el proyecto de convenio de Cooperación Técnica No Reembolsable,  suscrito </w:t>
      </w:r>
      <w:r w:rsidR="0035545A">
        <w:t xml:space="preserve">por </w:t>
      </w:r>
      <w:r>
        <w:t xml:space="preserve"> la República Oriental del Uruguay y el B.I.D., por un monto de hasta U$S 500.000 en apoyo del proyecto de fortalecimiento del Catastro Nacional;</w:t>
      </w:r>
    </w:p>
    <w:p w:rsidR="00821891" w:rsidRPr="002B2A88" w:rsidRDefault="00821891">
      <w:pPr>
        <w:pStyle w:val="Sangradetextonormal"/>
        <w:jc w:val="both"/>
      </w:pPr>
      <w:r>
        <w:rPr>
          <w:b/>
          <w:bCs/>
        </w:rPr>
        <w:t xml:space="preserve">CONSIDERANDO: 1) </w:t>
      </w:r>
      <w:r>
        <w:t xml:space="preserve">que la </w:t>
      </w:r>
      <w:r w:rsidR="002B2A88">
        <w:t>L</w:t>
      </w:r>
      <w:r>
        <w:t xml:space="preserve">ey 15.851 en su </w:t>
      </w:r>
      <w:r w:rsidR="002B2A88">
        <w:t>A</w:t>
      </w:r>
      <w:r>
        <w:t xml:space="preserve">rtículo 145 </w:t>
      </w:r>
      <w:r w:rsidR="002B2A88">
        <w:t>I</w:t>
      </w:r>
      <w:r>
        <w:t>nciso 2, preceptúa que “</w:t>
      </w:r>
      <w:r w:rsidRPr="002B2A88">
        <w:rPr>
          <w:iCs/>
        </w:rPr>
        <w:t xml:space="preserve">no requieren ratificación legislativa los convenios o contratos </w:t>
      </w:r>
      <w:r w:rsidRPr="002B2A88">
        <w:rPr>
          <w:iCs/>
        </w:rPr>
        <w:lastRenderedPageBreak/>
        <w:t xml:space="preserve">que el Poder Ejecutivo, los Entes Autónomos y Servicios Descentralizados celebren con organismos internacionales de los que el país forme parte”; </w:t>
      </w:r>
      <w:r w:rsidRPr="002B2A88">
        <w:t xml:space="preserve"> </w:t>
      </w:r>
    </w:p>
    <w:p w:rsidR="00821891" w:rsidRPr="002B2A88" w:rsidRDefault="00821891" w:rsidP="002B2A88">
      <w:pPr>
        <w:pStyle w:val="Sangradetextonormal"/>
        <w:ind w:firstLine="2977"/>
        <w:jc w:val="both"/>
      </w:pPr>
      <w:r w:rsidRPr="002B2A88">
        <w:rPr>
          <w:b/>
          <w:bCs/>
        </w:rPr>
        <w:t xml:space="preserve">2) </w:t>
      </w:r>
      <w:r w:rsidRPr="002B2A88">
        <w:t xml:space="preserve">que el Decreto 586/993 de 27/12/1993 en su </w:t>
      </w:r>
      <w:r w:rsidR="002B2A88">
        <w:t>A</w:t>
      </w:r>
      <w:r w:rsidRPr="002B2A88">
        <w:t>rtículo 1, dispone que “</w:t>
      </w:r>
      <w:r w:rsidRPr="002B2A88">
        <w:rPr>
          <w:iCs/>
        </w:rPr>
        <w:t>compete exclusivamente al Poder Ejecutivo, en acuerdo con el Ministerio de Economía y Finanzas, y el Ministro del ramo en su caso, autorizar toda gestión tendiente a la obtención de préstamos de organismos internacionales, instituciones o gobiernos extranjeros, en los que la República deba asumir la responsabilidad directa del prestatario o las obligaciones del garante, al suscribir los convenios respectivos”;</w:t>
      </w:r>
      <w:r w:rsidRPr="002B2A88">
        <w:t xml:space="preserve"> </w:t>
      </w:r>
    </w:p>
    <w:p w:rsidR="00821891" w:rsidRPr="002B2A88" w:rsidRDefault="00821891" w:rsidP="002B2A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color w:val="000000"/>
          <w:szCs w:val="19"/>
        </w:rPr>
      </w:pPr>
      <w:r w:rsidRPr="002B2A88">
        <w:rPr>
          <w:rFonts w:cs="Arial"/>
          <w:b/>
          <w:bCs/>
          <w:color w:val="000000"/>
          <w:szCs w:val="19"/>
        </w:rPr>
        <w:t xml:space="preserve">ATENTO </w:t>
      </w:r>
      <w:r w:rsidRPr="002B2A88">
        <w:rPr>
          <w:rFonts w:cs="Arial"/>
          <w:color w:val="000000"/>
          <w:szCs w:val="19"/>
        </w:rPr>
        <w:t>lo precedentemente expuesto;</w:t>
      </w:r>
    </w:p>
    <w:p w:rsidR="00821891" w:rsidRDefault="00821891">
      <w:pPr>
        <w:pStyle w:val="Ttulo3"/>
      </w:pPr>
      <w:r>
        <w:t>EL TRIBUNAL DE CUENTAS</w:t>
      </w:r>
    </w:p>
    <w:p w:rsidR="00821891" w:rsidRDefault="002B2A88" w:rsidP="002B2A8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  <w:color w:val="000000"/>
          <w:szCs w:val="19"/>
        </w:rPr>
      </w:pPr>
      <w:r w:rsidRPr="002B2A88">
        <w:rPr>
          <w:rFonts w:cs="Arial"/>
          <w:b/>
          <w:color w:val="000000"/>
          <w:szCs w:val="19"/>
        </w:rPr>
        <w:t>1)</w:t>
      </w:r>
      <w:r>
        <w:rPr>
          <w:rFonts w:cs="Arial"/>
          <w:color w:val="000000"/>
          <w:szCs w:val="19"/>
        </w:rPr>
        <w:t xml:space="preserve"> </w:t>
      </w:r>
      <w:r w:rsidR="00821891">
        <w:rPr>
          <w:rFonts w:cs="Arial"/>
          <w:color w:val="000000"/>
          <w:szCs w:val="19"/>
        </w:rPr>
        <w:t xml:space="preserve">No formular observaciones </w:t>
      </w:r>
      <w:r w:rsidR="00821891">
        <w:t>al</w:t>
      </w:r>
      <w:r w:rsidR="00821891">
        <w:rPr>
          <w:b/>
          <w:bCs/>
        </w:rPr>
        <w:t xml:space="preserve"> </w:t>
      </w:r>
      <w:r w:rsidR="00821891">
        <w:t>Convenio de Cooperación Técnica No Reembolsable Nº ATN/ KP-13942-UR “Fortalecimiento del Catastro Nacional”, celebrado entre la República Oriental del Uruguay y el Banco Interamericano de Desarrollo (B.I.D);</w:t>
      </w:r>
    </w:p>
    <w:p w:rsidR="00821891" w:rsidRDefault="002B2A88" w:rsidP="002B2A8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  <w:color w:val="000000"/>
          <w:szCs w:val="19"/>
        </w:rPr>
      </w:pPr>
      <w:r w:rsidRPr="002B2A88">
        <w:rPr>
          <w:b/>
        </w:rPr>
        <w:t>2)</w:t>
      </w:r>
      <w:r>
        <w:t xml:space="preserve"> </w:t>
      </w:r>
      <w:r w:rsidR="00821891">
        <w:t>Señalase que los gastos, pagos y demás gestiones derivadas de la ejecución del Convenio de Cooperación Técnica No Reembolsable Nº ATN/ KP-13942-UR, deberán ser sometidos a la intervención de este Tribunal o l</w:t>
      </w:r>
      <w:r w:rsidR="0035545A">
        <w:t>a</w:t>
      </w:r>
      <w:r w:rsidR="00821891">
        <w:t xml:space="preserve"> Contador</w:t>
      </w:r>
      <w:r w:rsidR="0035545A">
        <w:t>a</w:t>
      </w:r>
      <w:r w:rsidR="00821891">
        <w:t xml:space="preserve"> </w:t>
      </w:r>
      <w:r w:rsidR="0035545A">
        <w:t>Auditora</w:t>
      </w:r>
      <w:bookmarkStart w:id="0" w:name="_GoBack"/>
      <w:bookmarkEnd w:id="0"/>
      <w:r w:rsidR="00821891">
        <w:t xml:space="preserve"> según corresponda por su naturaleza y monto;</w:t>
      </w:r>
    </w:p>
    <w:p w:rsidR="0035545A" w:rsidRDefault="002B2A88" w:rsidP="002B2A8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19"/>
        </w:rPr>
      </w:pPr>
      <w:r w:rsidRPr="002B2A88">
        <w:rPr>
          <w:rFonts w:cs="Arial"/>
          <w:b/>
          <w:color w:val="000000"/>
          <w:szCs w:val="19"/>
        </w:rPr>
        <w:t>3)</w:t>
      </w:r>
      <w:r>
        <w:rPr>
          <w:rFonts w:cs="Arial"/>
          <w:color w:val="000000"/>
          <w:szCs w:val="19"/>
        </w:rPr>
        <w:t xml:space="preserve">  </w:t>
      </w:r>
      <w:r w:rsidR="0035545A">
        <w:rPr>
          <w:rFonts w:cs="Arial"/>
          <w:color w:val="000000"/>
          <w:szCs w:val="19"/>
        </w:rPr>
        <w:t>Comunicar a la Contadora Auditora; y</w:t>
      </w:r>
    </w:p>
    <w:p w:rsidR="00821891" w:rsidRDefault="0035545A" w:rsidP="002B2A8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Cs w:val="18"/>
        </w:rPr>
      </w:pPr>
      <w:r w:rsidRPr="0035545A">
        <w:rPr>
          <w:rFonts w:cs="Arial"/>
          <w:b/>
          <w:color w:val="000000"/>
          <w:szCs w:val="19"/>
        </w:rPr>
        <w:t>4)</w:t>
      </w:r>
      <w:r>
        <w:rPr>
          <w:rFonts w:cs="Arial"/>
          <w:color w:val="000000"/>
          <w:szCs w:val="19"/>
        </w:rPr>
        <w:t xml:space="preserve">  </w:t>
      </w:r>
      <w:r w:rsidR="00821891">
        <w:rPr>
          <w:rFonts w:cs="Arial"/>
          <w:color w:val="000000"/>
          <w:szCs w:val="19"/>
        </w:rPr>
        <w:t>Devolver los antecedentes.</w:t>
      </w: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</w:p>
    <w:p w:rsidR="002B2A88" w:rsidRDefault="002B2A88" w:rsidP="002B2A88">
      <w:pPr>
        <w:pStyle w:val="Sangradetextonormal"/>
        <w:ind w:firstLine="0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2B2A88" w:rsidSect="002B2A88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83"/>
    <w:multiLevelType w:val="hybridMultilevel"/>
    <w:tmpl w:val="D0A28642"/>
    <w:lvl w:ilvl="0" w:tplc="01046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C47"/>
    <w:rsid w:val="00026647"/>
    <w:rsid w:val="00250449"/>
    <w:rsid w:val="00252B08"/>
    <w:rsid w:val="002B2A88"/>
    <w:rsid w:val="0035545A"/>
    <w:rsid w:val="0052550C"/>
    <w:rsid w:val="00821891"/>
    <w:rsid w:val="00AC0C47"/>
    <w:rsid w:val="00C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2"/>
    </w:pPr>
    <w:rPr>
      <w:rFonts w:cs="Arial"/>
      <w:b/>
      <w:bCs/>
      <w:color w:val="000000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20131710006547</vt:lpstr>
    </vt:vector>
  </TitlesOfParts>
  <Company>Tribunal de Cuentas de la República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20131710006547</dc:title>
  <dc:subject/>
  <dc:creator>TRIBUNAL1</dc:creator>
  <cp:keywords/>
  <dc:description/>
  <cp:lastModifiedBy>Miriam Cristina Rivero</cp:lastModifiedBy>
  <cp:revision>2</cp:revision>
  <cp:lastPrinted>2013-11-18T16:03:00Z</cp:lastPrinted>
  <dcterms:created xsi:type="dcterms:W3CDTF">2013-11-18T16:03:00Z</dcterms:created>
  <dcterms:modified xsi:type="dcterms:W3CDTF">2013-11-18T16:03:00Z</dcterms:modified>
</cp:coreProperties>
</file>