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38" w:rsidRDefault="00B53338">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B53338" w:rsidRDefault="00B53338">
      <w:pPr>
        <w:tabs>
          <w:tab w:val="left" w:pos="-720"/>
        </w:tabs>
        <w:suppressAutoHyphens/>
        <w:jc w:val="center"/>
        <w:rPr>
          <w:rFonts w:ascii="Helvetica" w:hAnsi="Helvetica"/>
          <w:b/>
          <w:lang w:val="es-ES_tradnl"/>
        </w:rPr>
      </w:pPr>
    </w:p>
    <w:p w:rsidR="00B53338" w:rsidRDefault="00B53338">
      <w:pPr>
        <w:tabs>
          <w:tab w:val="center" w:pos="4253"/>
        </w:tabs>
        <w:suppressAutoHyphens/>
        <w:jc w:val="center"/>
        <w:rPr>
          <w:rFonts w:ascii="Helvetica" w:hAnsi="Helvetica"/>
          <w:b/>
          <w:lang w:val="es-ES_tradnl"/>
        </w:rPr>
      </w:pPr>
      <w:r>
        <w:rPr>
          <w:rFonts w:ascii="Helvetica" w:hAnsi="Helvetica"/>
          <w:b/>
          <w:lang w:val="es-ES_tradnl"/>
        </w:rPr>
        <w:t>TRIBUNAL DE CUENTAS</w:t>
      </w:r>
    </w:p>
    <w:p w:rsidR="00B53338" w:rsidRDefault="00B53338">
      <w:pPr>
        <w:tabs>
          <w:tab w:val="left" w:pos="-720"/>
        </w:tabs>
        <w:suppressAutoHyphens/>
        <w:jc w:val="center"/>
        <w:rPr>
          <w:rFonts w:ascii="Helvetica" w:hAnsi="Helvetica"/>
          <w:b/>
          <w:lang w:val="es-ES_tradnl"/>
        </w:rPr>
      </w:pPr>
    </w:p>
    <w:p w:rsidR="00B53338" w:rsidRDefault="00B53338">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B53338" w:rsidRDefault="00B53338">
      <w:pPr>
        <w:tabs>
          <w:tab w:val="center" w:pos="4253"/>
        </w:tabs>
        <w:suppressAutoHyphens/>
        <w:jc w:val="center"/>
        <w:rPr>
          <w:rFonts w:ascii="Helvetica" w:hAnsi="Helvetica"/>
          <w:b/>
          <w:lang w:val="es-ES_tradnl"/>
        </w:rPr>
      </w:pPr>
    </w:p>
    <w:p w:rsidR="00B53338" w:rsidRDefault="00B53338">
      <w:pPr>
        <w:tabs>
          <w:tab w:val="center" w:pos="4253"/>
        </w:tabs>
        <w:suppressAutoHyphens/>
        <w:jc w:val="center"/>
        <w:rPr>
          <w:rFonts w:ascii="Helvetica" w:hAnsi="Helvetica"/>
          <w:b/>
          <w:lang w:val="en-US"/>
        </w:rPr>
      </w:pPr>
      <w:r>
        <w:rPr>
          <w:rFonts w:ascii="Helvetica" w:hAnsi="Helvetica"/>
          <w:b/>
          <w:lang w:val="en-US"/>
        </w:rPr>
        <w:t>(E. E. Nº 2012-17-1-0001880, Ent. N° 5971/13)</w:t>
      </w:r>
    </w:p>
    <w:p w:rsidR="00E318E6" w:rsidRDefault="00E318E6" w:rsidP="00E318E6">
      <w:pPr>
        <w:spacing w:line="360" w:lineRule="auto"/>
        <w:jc w:val="both"/>
        <w:rPr>
          <w:rFonts w:cs="Arial"/>
          <w:lang w:val="es-UY"/>
        </w:rPr>
      </w:pPr>
    </w:p>
    <w:p w:rsidR="00E318E6" w:rsidRDefault="00E318E6" w:rsidP="00B53338">
      <w:pPr>
        <w:spacing w:line="360" w:lineRule="auto"/>
        <w:ind w:firstLine="851"/>
        <w:jc w:val="both"/>
        <w:rPr>
          <w:rFonts w:cs="Arial"/>
          <w:lang w:val="es-UY"/>
        </w:rPr>
      </w:pPr>
      <w:r>
        <w:rPr>
          <w:rFonts w:cs="Arial"/>
          <w:b/>
          <w:bCs/>
          <w:lang w:val="es-UY"/>
        </w:rPr>
        <w:t xml:space="preserve">VISTO: </w:t>
      </w:r>
      <w:r w:rsidR="00343EFD">
        <w:rPr>
          <w:lang w:val="es-MX"/>
        </w:rPr>
        <w:t xml:space="preserve">las actuaciones remitidas por la Administración Nacional de Telecomunicaciones, </w:t>
      </w:r>
      <w:r w:rsidR="00343EFD" w:rsidRPr="00A93D2B">
        <w:rPr>
          <w:lang w:val="es-MX"/>
        </w:rPr>
        <w:t xml:space="preserve">relacionadas con la Licitación </w:t>
      </w:r>
      <w:r w:rsidR="00B53338">
        <w:rPr>
          <w:lang w:val="es-MX"/>
        </w:rPr>
        <w:t>Pública N°</w:t>
      </w:r>
      <w:r w:rsidR="00343EFD" w:rsidRPr="00A93D2B">
        <w:rPr>
          <w:lang w:val="es-MX"/>
        </w:rPr>
        <w:t xml:space="preserve"> H1A02370 para  la  adquisición de cable de acometida triple</w:t>
      </w:r>
      <w:r>
        <w:rPr>
          <w:lang w:val="es-MX"/>
        </w:rPr>
        <w:t>;</w:t>
      </w:r>
    </w:p>
    <w:p w:rsidR="00E318E6" w:rsidRDefault="00E318E6" w:rsidP="00B53338">
      <w:pPr>
        <w:suppressAutoHyphens/>
        <w:spacing w:line="360" w:lineRule="auto"/>
        <w:ind w:firstLine="851"/>
        <w:jc w:val="both"/>
        <w:rPr>
          <w:spacing w:val="-3"/>
          <w:lang w:val="es-ES_tradnl"/>
        </w:rPr>
      </w:pPr>
      <w:r>
        <w:rPr>
          <w:rFonts w:cs="Arial"/>
          <w:b/>
          <w:bCs/>
          <w:lang w:val="es-UY"/>
        </w:rPr>
        <w:t xml:space="preserve">RESULTANDO: </w:t>
      </w:r>
      <w:r>
        <w:rPr>
          <w:rFonts w:cs="Arial"/>
          <w:b/>
          <w:bCs/>
          <w:lang w:val="es-UY"/>
        </w:rPr>
        <w:tab/>
        <w:t xml:space="preserve">1) </w:t>
      </w:r>
      <w:r w:rsidR="006411E7">
        <w:rPr>
          <w:lang w:val="es-ES_tradnl"/>
        </w:rPr>
        <w:t>que p</w:t>
      </w:r>
      <w:r w:rsidR="00B53338">
        <w:rPr>
          <w:lang w:val="es-ES_tradnl"/>
        </w:rPr>
        <w:t xml:space="preserve">or Resolución N° </w:t>
      </w:r>
      <w:r w:rsidR="006411E7" w:rsidRPr="00A93D2B">
        <w:rPr>
          <w:lang w:val="es-ES_tradnl"/>
        </w:rPr>
        <w:t>1587/12 de fecha 04.10.12, el Directorio dispuso adjudicar a L</w:t>
      </w:r>
      <w:r w:rsidR="00620F83">
        <w:rPr>
          <w:lang w:val="es-ES_tradnl"/>
        </w:rPr>
        <w:t>emu</w:t>
      </w:r>
      <w:r w:rsidR="006411E7" w:rsidRPr="00A93D2B">
        <w:rPr>
          <w:lang w:val="es-ES_tradnl"/>
        </w:rPr>
        <w:t xml:space="preserve"> S.A. y R</w:t>
      </w:r>
      <w:r w:rsidR="006411E7">
        <w:rPr>
          <w:lang w:val="es-ES_tradnl"/>
        </w:rPr>
        <w:t>ey</w:t>
      </w:r>
      <w:r w:rsidR="006411E7" w:rsidRPr="00A93D2B">
        <w:rPr>
          <w:lang w:val="es-ES_tradnl"/>
        </w:rPr>
        <w:t xml:space="preserve"> C</w:t>
      </w:r>
      <w:r w:rsidR="006411E7">
        <w:rPr>
          <w:lang w:val="es-ES_tradnl"/>
        </w:rPr>
        <w:t>ampos</w:t>
      </w:r>
      <w:r w:rsidR="006411E7" w:rsidRPr="00A93D2B">
        <w:rPr>
          <w:lang w:val="es-ES_tradnl"/>
        </w:rPr>
        <w:t xml:space="preserve"> S.A. (Consorcio a constituirse RELE) por un monto de U$S 2.528.000 (más IVA)</w:t>
      </w:r>
      <w:r w:rsidR="006411E7">
        <w:rPr>
          <w:lang w:val="es-ES_tradnl"/>
        </w:rPr>
        <w:t>. Este Tribunal, en Sesión de fecha 21.11.12 acordó observar el gasto correspondiente al Ejercicio 2012. Reiterado, se mantuvo la observación</w:t>
      </w:r>
      <w:r>
        <w:rPr>
          <w:spacing w:val="-3"/>
          <w:lang w:val="es-ES_tradnl"/>
        </w:rPr>
        <w:t>;</w:t>
      </w:r>
    </w:p>
    <w:p w:rsidR="006411E7" w:rsidRDefault="006411E7" w:rsidP="006411E7">
      <w:pPr>
        <w:suppressAutoHyphens/>
        <w:spacing w:line="360" w:lineRule="auto"/>
        <w:jc w:val="both"/>
        <w:rPr>
          <w:spacing w:val="-3"/>
          <w:lang w:val="es-ES_tradnl"/>
        </w:rPr>
      </w:pPr>
      <w:r>
        <w:rPr>
          <w:spacing w:val="-3"/>
          <w:lang w:val="es-ES_tradnl"/>
        </w:rPr>
        <w:tab/>
      </w:r>
      <w:r>
        <w:rPr>
          <w:spacing w:val="-3"/>
          <w:lang w:val="es-ES_tradnl"/>
        </w:rPr>
        <w:tab/>
      </w:r>
      <w:r>
        <w:rPr>
          <w:spacing w:val="-3"/>
          <w:lang w:val="es-ES_tradnl"/>
        </w:rPr>
        <w:tab/>
      </w:r>
      <w:r>
        <w:rPr>
          <w:spacing w:val="-3"/>
          <w:lang w:val="es-ES_tradnl"/>
        </w:rPr>
        <w:tab/>
      </w:r>
      <w:r w:rsidRPr="006B53D5">
        <w:rPr>
          <w:b/>
          <w:spacing w:val="-3"/>
          <w:lang w:val="es-ES_tradnl"/>
        </w:rPr>
        <w:t>2)</w:t>
      </w:r>
      <w:r>
        <w:rPr>
          <w:spacing w:val="-3"/>
          <w:lang w:val="es-ES_tradnl"/>
        </w:rPr>
        <w:t xml:space="preserve"> que por Resolución No. 1025/13 de fecha 13.06.13, el Directorio dispuso adjudicar el uso del 100% de la opción a Consorcio RELE por un monto de U$S 2.528.000 (más IVA);</w:t>
      </w:r>
    </w:p>
    <w:p w:rsidR="006411E7" w:rsidRDefault="006411E7" w:rsidP="006411E7">
      <w:pPr>
        <w:suppressAutoHyphens/>
        <w:spacing w:line="360" w:lineRule="auto"/>
        <w:jc w:val="both"/>
        <w:rPr>
          <w:lang w:val="es-ES_tradnl"/>
        </w:rPr>
      </w:pPr>
      <w:r>
        <w:rPr>
          <w:spacing w:val="-3"/>
          <w:lang w:val="es-ES_tradnl"/>
        </w:rPr>
        <w:tab/>
      </w:r>
      <w:r>
        <w:rPr>
          <w:spacing w:val="-3"/>
          <w:lang w:val="es-ES_tradnl"/>
        </w:rPr>
        <w:tab/>
      </w:r>
      <w:r>
        <w:rPr>
          <w:spacing w:val="-3"/>
          <w:lang w:val="es-ES_tradnl"/>
        </w:rPr>
        <w:tab/>
      </w:r>
      <w:r>
        <w:rPr>
          <w:spacing w:val="-3"/>
          <w:lang w:val="es-ES_tradnl"/>
        </w:rPr>
        <w:tab/>
      </w:r>
      <w:r w:rsidRPr="006B53D5">
        <w:rPr>
          <w:b/>
          <w:spacing w:val="-3"/>
          <w:lang w:val="es-ES_tradnl"/>
        </w:rPr>
        <w:t>3)</w:t>
      </w:r>
      <w:r>
        <w:rPr>
          <w:spacing w:val="-3"/>
          <w:lang w:val="es-ES_tradnl"/>
        </w:rPr>
        <w:t xml:space="preserve"> que este Tribunal, </w:t>
      </w:r>
      <w:r>
        <w:rPr>
          <w:lang w:val="es-ES_tradnl"/>
        </w:rPr>
        <w:t>en Sesión de fecha 17.07.13 acordó observar el gasto correspondie</w:t>
      </w:r>
      <w:r w:rsidR="00B53338">
        <w:rPr>
          <w:lang w:val="es-ES_tradnl"/>
        </w:rPr>
        <w:t xml:space="preserve">nte al Ejercicio 2013, por </w:t>
      </w:r>
      <w:r>
        <w:rPr>
          <w:lang w:val="es-ES_tradnl"/>
        </w:rPr>
        <w:t xml:space="preserve"> contraveni</w:t>
      </w:r>
      <w:r w:rsidR="00B53338">
        <w:rPr>
          <w:lang w:val="es-ES_tradnl"/>
        </w:rPr>
        <w:t>r lo dispuesto por el A</w:t>
      </w:r>
      <w:r>
        <w:rPr>
          <w:lang w:val="es-ES_tradnl"/>
        </w:rPr>
        <w:t>rtículo 15 del TOCAF;</w:t>
      </w:r>
    </w:p>
    <w:p w:rsidR="006411E7" w:rsidRDefault="006411E7" w:rsidP="006411E7">
      <w:pPr>
        <w:suppressAutoHyphens/>
        <w:spacing w:line="360" w:lineRule="auto"/>
        <w:jc w:val="both"/>
        <w:rPr>
          <w:spacing w:val="-3"/>
          <w:lang w:val="es-ES_tradnl"/>
        </w:rPr>
      </w:pPr>
      <w:r>
        <w:rPr>
          <w:lang w:val="es-ES_tradnl"/>
        </w:rPr>
        <w:tab/>
      </w:r>
      <w:r>
        <w:rPr>
          <w:lang w:val="es-ES_tradnl"/>
        </w:rPr>
        <w:tab/>
      </w:r>
      <w:r>
        <w:rPr>
          <w:lang w:val="es-ES_tradnl"/>
        </w:rPr>
        <w:tab/>
      </w:r>
      <w:r>
        <w:rPr>
          <w:lang w:val="es-ES_tradnl"/>
        </w:rPr>
        <w:tab/>
      </w:r>
      <w:r w:rsidRPr="006B53D5">
        <w:rPr>
          <w:b/>
          <w:lang w:val="es-ES_tradnl"/>
        </w:rPr>
        <w:t>4)</w:t>
      </w:r>
      <w:r>
        <w:rPr>
          <w:lang w:val="es-ES_tradnl"/>
        </w:rPr>
        <w:t xml:space="preserve"> </w:t>
      </w:r>
      <w:r>
        <w:t>que, con fecha 08.08.13, el Directorio, dispuso reiterar el gasto, señalando que la contratación es necesaria para no comprometer la continuidad de las instalaciones de telefonía fija programadas en todo el país;</w:t>
      </w:r>
    </w:p>
    <w:p w:rsidR="00E318E6" w:rsidRDefault="00E318E6" w:rsidP="00E318E6">
      <w:pPr>
        <w:widowControl w:val="0"/>
        <w:suppressAutoHyphens/>
        <w:snapToGrid w:val="0"/>
        <w:spacing w:line="360" w:lineRule="auto"/>
        <w:ind w:right="284" w:firstLine="720"/>
        <w:jc w:val="both"/>
        <w:rPr>
          <w:spacing w:val="-3"/>
          <w:lang w:val="es-ES_tradnl"/>
        </w:rPr>
      </w:pPr>
      <w:r>
        <w:rPr>
          <w:spacing w:val="-3"/>
          <w:lang w:val="es-ES_tradnl"/>
        </w:rPr>
        <w:tab/>
      </w:r>
      <w:r>
        <w:rPr>
          <w:spacing w:val="-3"/>
          <w:lang w:val="es-ES_tradnl"/>
        </w:rPr>
        <w:tab/>
      </w:r>
      <w:r>
        <w:rPr>
          <w:spacing w:val="-3"/>
          <w:lang w:val="es-ES_tradnl"/>
        </w:rPr>
        <w:tab/>
      </w:r>
      <w:r w:rsidR="006B53D5" w:rsidRPr="006B53D5">
        <w:rPr>
          <w:b/>
          <w:spacing w:val="-3"/>
          <w:lang w:val="es-ES_tradnl"/>
        </w:rPr>
        <w:t>5</w:t>
      </w:r>
      <w:r w:rsidRPr="006B53D5">
        <w:rPr>
          <w:b/>
          <w:bCs/>
          <w:spacing w:val="-3"/>
          <w:lang w:val="es-ES_tradnl"/>
        </w:rPr>
        <w:t>)</w:t>
      </w:r>
      <w:r>
        <w:rPr>
          <w:spacing w:val="-3"/>
          <w:lang w:val="es-ES_tradnl"/>
        </w:rPr>
        <w:t xml:space="preserve"> que </w:t>
      </w:r>
      <w:r>
        <w:rPr>
          <w:snapToGrid w:val="0"/>
          <w:spacing w:val="-3"/>
          <w:lang w:val="es-ES_tradnl"/>
        </w:rPr>
        <w:t xml:space="preserve">con fecha </w:t>
      </w:r>
      <w:r w:rsidR="006B53D5">
        <w:rPr>
          <w:snapToGrid w:val="0"/>
          <w:spacing w:val="-3"/>
          <w:lang w:val="es-ES_tradnl"/>
        </w:rPr>
        <w:t>21.08.13</w:t>
      </w:r>
      <w:r>
        <w:rPr>
          <w:snapToGrid w:val="0"/>
          <w:spacing w:val="-3"/>
          <w:lang w:val="es-ES_tradnl"/>
        </w:rPr>
        <w:t xml:space="preserve">, </w:t>
      </w:r>
      <w:r w:rsidR="007F44DD">
        <w:rPr>
          <w:snapToGrid w:val="0"/>
          <w:spacing w:val="-3"/>
          <w:lang w:val="es-ES_tradnl"/>
        </w:rPr>
        <w:t>la  C</w:t>
      </w:r>
      <w:r>
        <w:rPr>
          <w:snapToGrid w:val="0"/>
          <w:spacing w:val="-3"/>
          <w:lang w:val="es-ES_tradnl"/>
        </w:rPr>
        <w:t>ontador</w:t>
      </w:r>
      <w:r w:rsidR="007F44DD">
        <w:rPr>
          <w:snapToGrid w:val="0"/>
          <w:spacing w:val="-3"/>
          <w:lang w:val="es-ES_tradnl"/>
        </w:rPr>
        <w:t>a</w:t>
      </w:r>
      <w:r>
        <w:rPr>
          <w:snapToGrid w:val="0"/>
          <w:spacing w:val="-3"/>
          <w:lang w:val="es-ES_tradnl"/>
        </w:rPr>
        <w:t xml:space="preserve"> Delegad</w:t>
      </w:r>
      <w:r w:rsidR="007F44DD">
        <w:rPr>
          <w:snapToGrid w:val="0"/>
          <w:spacing w:val="-3"/>
          <w:lang w:val="es-ES_tradnl"/>
        </w:rPr>
        <w:t>a</w:t>
      </w:r>
      <w:r>
        <w:t xml:space="preserve"> </w:t>
      </w:r>
      <w:r w:rsidR="006B53D5">
        <w:t>intervino por reiteración</w:t>
      </w:r>
      <w:r>
        <w:rPr>
          <w:spacing w:val="-3"/>
          <w:lang w:val="es-ES_tradnl"/>
        </w:rPr>
        <w:t>;</w:t>
      </w:r>
    </w:p>
    <w:p w:rsidR="00E24435" w:rsidRDefault="00E24435" w:rsidP="00E318E6">
      <w:pPr>
        <w:widowControl w:val="0"/>
        <w:suppressAutoHyphens/>
        <w:snapToGrid w:val="0"/>
        <w:spacing w:line="360" w:lineRule="auto"/>
        <w:ind w:right="284" w:firstLine="720"/>
        <w:jc w:val="both"/>
        <w:rPr>
          <w:spacing w:val="-3"/>
          <w:lang w:val="es-ES_tradnl"/>
        </w:rPr>
      </w:pPr>
      <w:r>
        <w:rPr>
          <w:spacing w:val="-3"/>
          <w:lang w:val="es-ES_tradnl"/>
        </w:rPr>
        <w:tab/>
      </w:r>
      <w:r>
        <w:rPr>
          <w:spacing w:val="-3"/>
          <w:lang w:val="es-ES_tradnl"/>
        </w:rPr>
        <w:tab/>
      </w:r>
      <w:r>
        <w:rPr>
          <w:spacing w:val="-3"/>
          <w:lang w:val="es-ES_tradnl"/>
        </w:rPr>
        <w:tab/>
      </w:r>
      <w:r w:rsidRPr="00E24435">
        <w:rPr>
          <w:b/>
          <w:spacing w:val="-3"/>
          <w:lang w:val="es-ES_tradnl"/>
        </w:rPr>
        <w:t>6)</w:t>
      </w:r>
      <w:r>
        <w:rPr>
          <w:spacing w:val="-3"/>
          <w:lang w:val="es-ES_tradnl"/>
        </w:rPr>
        <w:t xml:space="preserve"> que este Tribunal, </w:t>
      </w:r>
      <w:r>
        <w:t xml:space="preserve">en Sesión de fecha 16.10.13, mantuvo la observación del gasto comunicando a la Asamblea General y al Poder Ejecutivo; </w:t>
      </w:r>
    </w:p>
    <w:p w:rsidR="00AD69E5" w:rsidRPr="00B53338" w:rsidRDefault="00AD69E5" w:rsidP="00B53338">
      <w:pPr>
        <w:spacing w:line="360" w:lineRule="auto"/>
        <w:ind w:firstLine="1701"/>
        <w:jc w:val="both"/>
        <w:rPr>
          <w:rFonts w:cs="Arial"/>
        </w:rPr>
      </w:pPr>
      <w:r>
        <w:rPr>
          <w:spacing w:val="-3"/>
          <w:lang w:val="es-ES_tradnl"/>
        </w:rPr>
        <w:lastRenderedPageBreak/>
        <w:tab/>
      </w:r>
      <w:r>
        <w:rPr>
          <w:spacing w:val="-3"/>
          <w:lang w:val="es-ES_tradnl"/>
        </w:rPr>
        <w:tab/>
      </w:r>
      <w:r w:rsidR="00E24435">
        <w:rPr>
          <w:b/>
          <w:spacing w:val="-3"/>
          <w:lang w:val="es-ES_tradnl"/>
        </w:rPr>
        <w:t>7</w:t>
      </w:r>
      <w:r w:rsidRPr="00AD69E5">
        <w:rPr>
          <w:b/>
          <w:spacing w:val="-3"/>
          <w:lang w:val="es-ES_tradnl"/>
        </w:rPr>
        <w:t>)</w:t>
      </w:r>
      <w:r>
        <w:rPr>
          <w:spacing w:val="-3"/>
          <w:lang w:val="es-ES_tradnl"/>
        </w:rPr>
        <w:t xml:space="preserve"> </w:t>
      </w:r>
      <w:r>
        <w:rPr>
          <w:rFonts w:cs="Arial"/>
        </w:rPr>
        <w:t>que en la oportunidad, la Administración remite</w:t>
      </w:r>
      <w:r w:rsidR="00B53338">
        <w:rPr>
          <w:rFonts w:cs="Arial"/>
        </w:rPr>
        <w:t xml:space="preserve"> nuevamente la R</w:t>
      </w:r>
      <w:r>
        <w:rPr>
          <w:rFonts w:cs="Arial"/>
        </w:rPr>
        <w:t>esolución de reiteración del gasto, mencionada en el Resultando 4;</w:t>
      </w:r>
    </w:p>
    <w:p w:rsidR="00AD69E5" w:rsidRDefault="00AD69E5" w:rsidP="00B53338">
      <w:pPr>
        <w:spacing w:line="360" w:lineRule="auto"/>
        <w:ind w:firstLine="851"/>
        <w:jc w:val="both"/>
        <w:rPr>
          <w:rFonts w:cs="Arial"/>
          <w:bCs/>
          <w:lang w:val="es-MX"/>
        </w:rPr>
      </w:pPr>
      <w:r>
        <w:rPr>
          <w:rFonts w:cs="Arial"/>
          <w:b/>
        </w:rPr>
        <w:t>CONSIDERANDO:</w:t>
      </w:r>
      <w:r>
        <w:rPr>
          <w:b/>
        </w:rPr>
        <w:t xml:space="preserve"> </w:t>
      </w:r>
      <w:r w:rsidR="00B53338">
        <w:rPr>
          <w:rFonts w:cs="Arial"/>
        </w:rPr>
        <w:t xml:space="preserve">que de acuerdo con lo dispuesto por el Artículo 211 Literal </w:t>
      </w:r>
      <w:r>
        <w:rPr>
          <w:rFonts w:cs="Arial"/>
        </w:rPr>
        <w:t xml:space="preserve">B) de la Constitución de la República  ha </w:t>
      </w:r>
      <w:r>
        <w:rPr>
          <w:rFonts w:cs="Arial"/>
          <w:lang w:val="es-MX"/>
        </w:rPr>
        <w:t>culminado el ciclo de actuación que compete a este Tribunal, ya que una vez que el gasto fue reiterado y se mantuvo la observación</w:t>
      </w:r>
      <w:r w:rsidR="00B53338">
        <w:rPr>
          <w:rFonts w:cs="Arial"/>
          <w:lang w:val="es-MX"/>
        </w:rPr>
        <w:t>,</w:t>
      </w:r>
      <w:r>
        <w:rPr>
          <w:rFonts w:cs="Arial"/>
          <w:lang w:val="es-MX"/>
        </w:rPr>
        <w:t xml:space="preserve"> </w:t>
      </w:r>
      <w:r>
        <w:rPr>
          <w:rFonts w:cs="Arial"/>
          <w:bCs/>
          <w:lang w:val="es-MX"/>
        </w:rPr>
        <w:t>no corresponde emitir un nuevo pronunciamiento;</w:t>
      </w:r>
    </w:p>
    <w:p w:rsidR="00E318E6" w:rsidRDefault="00E318E6" w:rsidP="00B53338">
      <w:pPr>
        <w:spacing w:line="360" w:lineRule="auto"/>
        <w:ind w:firstLine="851"/>
        <w:jc w:val="both"/>
        <w:rPr>
          <w:rFonts w:cs="Arial"/>
          <w:lang w:val="es-UY"/>
        </w:rPr>
      </w:pPr>
      <w:r>
        <w:rPr>
          <w:rFonts w:cs="Arial"/>
          <w:b/>
          <w:bCs/>
          <w:lang w:val="es-UY"/>
        </w:rPr>
        <w:t xml:space="preserve">ATENTO: </w:t>
      </w:r>
      <w:r>
        <w:rPr>
          <w:rFonts w:cs="Arial"/>
          <w:lang w:val="es-UY"/>
        </w:rPr>
        <w:t>a lo expuesto;</w:t>
      </w:r>
    </w:p>
    <w:p w:rsidR="00E318E6" w:rsidRDefault="00E318E6" w:rsidP="00E318E6">
      <w:pPr>
        <w:pStyle w:val="Ttulo1"/>
      </w:pPr>
      <w:r>
        <w:t>EL TRIBUNAL ACUERDA</w:t>
      </w:r>
    </w:p>
    <w:p w:rsidR="00AD69E5" w:rsidRDefault="00AD69E5" w:rsidP="00AD69E5">
      <w:pPr>
        <w:numPr>
          <w:ilvl w:val="0"/>
          <w:numId w:val="2"/>
        </w:numPr>
        <w:spacing w:line="360" w:lineRule="auto"/>
        <w:rPr>
          <w:rFonts w:cs="Arial"/>
          <w:bCs/>
          <w:lang w:val="es-MX"/>
        </w:rPr>
      </w:pPr>
      <w:r>
        <w:rPr>
          <w:rFonts w:cs="Arial"/>
          <w:bCs/>
          <w:lang w:val="es-MX"/>
        </w:rPr>
        <w:t xml:space="preserve">Estar a lo </w:t>
      </w:r>
      <w:r w:rsidR="00B53338">
        <w:rPr>
          <w:rFonts w:cs="Arial"/>
          <w:bCs/>
          <w:lang w:val="es-MX"/>
        </w:rPr>
        <w:t>dispuesto por este Tribunal en S</w:t>
      </w:r>
      <w:r>
        <w:rPr>
          <w:rFonts w:cs="Arial"/>
          <w:bCs/>
          <w:lang w:val="es-MX"/>
        </w:rPr>
        <w:t xml:space="preserve">esión de fecha </w:t>
      </w:r>
      <w:r>
        <w:rPr>
          <w:lang w:val="es-ES_tradnl"/>
        </w:rPr>
        <w:t>17.07.13</w:t>
      </w:r>
      <w:r>
        <w:rPr>
          <w:rFonts w:cs="Arial"/>
          <w:bCs/>
          <w:lang w:val="es-MX"/>
        </w:rPr>
        <w:t>;</w:t>
      </w:r>
      <w:r w:rsidR="00B53338">
        <w:rPr>
          <w:rFonts w:cs="Arial"/>
          <w:bCs/>
          <w:lang w:val="es-MX"/>
        </w:rPr>
        <w:t xml:space="preserve"> y</w:t>
      </w:r>
    </w:p>
    <w:p w:rsidR="00AD69E5" w:rsidRDefault="00AD69E5" w:rsidP="00AD69E5">
      <w:pPr>
        <w:numPr>
          <w:ilvl w:val="0"/>
          <w:numId w:val="2"/>
        </w:numPr>
        <w:spacing w:line="360" w:lineRule="auto"/>
        <w:rPr>
          <w:rFonts w:cs="Arial"/>
          <w:bCs/>
          <w:lang w:val="es-MX"/>
        </w:rPr>
      </w:pPr>
      <w:r>
        <w:rPr>
          <w:rFonts w:cs="Arial"/>
          <w:bCs/>
          <w:lang w:val="es-MX"/>
        </w:rPr>
        <w:t>Devolver las actuaciones</w:t>
      </w:r>
      <w:r w:rsidR="00B53338">
        <w:rPr>
          <w:rFonts w:cs="Arial"/>
          <w:bCs/>
          <w:lang w:val="es-MX"/>
        </w:rPr>
        <w:t>.</w:t>
      </w:r>
    </w:p>
    <w:p w:rsidR="00B53338" w:rsidRDefault="00B53338" w:rsidP="00B53338">
      <w:pPr>
        <w:spacing w:line="360" w:lineRule="auto"/>
        <w:ind w:left="720"/>
        <w:rPr>
          <w:rFonts w:cs="Arial"/>
          <w:bCs/>
          <w:lang w:val="es-MX"/>
        </w:rPr>
      </w:pPr>
    </w:p>
    <w:p w:rsidR="00B53338" w:rsidRDefault="00B53338" w:rsidP="00B53338">
      <w:pPr>
        <w:spacing w:line="360" w:lineRule="auto"/>
        <w:ind w:left="720"/>
        <w:rPr>
          <w:rFonts w:cs="Arial"/>
          <w:bCs/>
          <w:lang w:val="es-MX"/>
        </w:rPr>
      </w:pPr>
      <w:r>
        <w:rPr>
          <w:rFonts w:cs="Arial"/>
          <w:bCs/>
          <w:lang w:val="es-MX"/>
        </w:rPr>
        <w:t>mp</w:t>
      </w:r>
      <w:bookmarkStart w:id="0" w:name="_GoBack"/>
      <w:bookmarkEnd w:id="0"/>
    </w:p>
    <w:p w:rsidR="00E318E6" w:rsidRDefault="00E318E6" w:rsidP="00E318E6">
      <w:pPr>
        <w:spacing w:line="360" w:lineRule="auto"/>
        <w:jc w:val="both"/>
        <w:rPr>
          <w:rFonts w:cs="Arial"/>
        </w:rPr>
      </w:pPr>
    </w:p>
    <w:p w:rsidR="00343EFD" w:rsidRDefault="00343EFD"/>
    <w:sectPr w:rsidR="00343EFD" w:rsidSect="00596F88">
      <w:footerReference w:type="even" r:id="rId8"/>
      <w:footerReference w:type="default" r:id="rId9"/>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83" w:rsidRDefault="00620F83">
      <w:r>
        <w:separator/>
      </w:r>
    </w:p>
  </w:endnote>
  <w:endnote w:type="continuationSeparator" w:id="0">
    <w:p w:rsidR="00620F83" w:rsidRDefault="0062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83" w:rsidRDefault="00620F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20F83" w:rsidRDefault="00620F8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83" w:rsidRDefault="00620F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6F88">
      <w:rPr>
        <w:rStyle w:val="Nmerodepgina"/>
        <w:noProof/>
      </w:rPr>
      <w:t>2</w:t>
    </w:r>
    <w:r>
      <w:rPr>
        <w:rStyle w:val="Nmerodepgina"/>
      </w:rPr>
      <w:fldChar w:fldCharType="end"/>
    </w:r>
  </w:p>
  <w:p w:rsidR="00620F83" w:rsidRDefault="00620F8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83" w:rsidRDefault="00620F83">
      <w:r>
        <w:separator/>
      </w:r>
    </w:p>
  </w:footnote>
  <w:footnote w:type="continuationSeparator" w:id="0">
    <w:p w:rsidR="00620F83" w:rsidRDefault="00620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E7F26"/>
    <w:multiLevelType w:val="singleLevel"/>
    <w:tmpl w:val="45C892A6"/>
    <w:lvl w:ilvl="0">
      <w:start w:val="1"/>
      <w:numFmt w:val="decimal"/>
      <w:lvlText w:val="%1)"/>
      <w:lvlJc w:val="left"/>
      <w:pPr>
        <w:tabs>
          <w:tab w:val="num" w:pos="360"/>
        </w:tabs>
        <w:ind w:left="360" w:hanging="360"/>
      </w:pPr>
      <w:rPr>
        <w:rFonts w:hint="default"/>
        <w:b/>
        <w:i w:val="0"/>
      </w:rPr>
    </w:lvl>
  </w:abstractNum>
  <w:abstractNum w:abstractNumId="1">
    <w:nsid w:val="6C6A5BE2"/>
    <w:multiLevelType w:val="hybridMultilevel"/>
    <w:tmpl w:val="FAAE92D8"/>
    <w:lvl w:ilvl="0" w:tplc="DB62B7FA">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E6"/>
    <w:rsid w:val="000A55D1"/>
    <w:rsid w:val="00343EFD"/>
    <w:rsid w:val="004B6310"/>
    <w:rsid w:val="005805C9"/>
    <w:rsid w:val="00596F88"/>
    <w:rsid w:val="005B63B5"/>
    <w:rsid w:val="005E4E3C"/>
    <w:rsid w:val="00620F83"/>
    <w:rsid w:val="006411E7"/>
    <w:rsid w:val="006B53D5"/>
    <w:rsid w:val="00771A02"/>
    <w:rsid w:val="007F44DD"/>
    <w:rsid w:val="00AD69E5"/>
    <w:rsid w:val="00B53338"/>
    <w:rsid w:val="00BD3411"/>
    <w:rsid w:val="00BF2395"/>
    <w:rsid w:val="00BF3424"/>
    <w:rsid w:val="00DF794F"/>
    <w:rsid w:val="00E24435"/>
    <w:rsid w:val="00E318E6"/>
    <w:rsid w:val="00FE06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318E6"/>
    <w:pPr>
      <w:keepNext/>
      <w:spacing w:line="360" w:lineRule="auto"/>
      <w:jc w:val="center"/>
      <w:outlineLvl w:val="0"/>
    </w:pPr>
    <w:rPr>
      <w:rFonts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18E6"/>
    <w:rPr>
      <w:rFonts w:ascii="Arial" w:eastAsia="Times New Roman" w:hAnsi="Arial" w:cs="Arial"/>
      <w:b/>
      <w:bCs/>
      <w:sz w:val="24"/>
      <w:szCs w:val="20"/>
      <w:lang w:val="es-ES" w:eastAsia="es-ES"/>
    </w:rPr>
  </w:style>
  <w:style w:type="paragraph" w:styleId="Piedepgina">
    <w:name w:val="footer"/>
    <w:basedOn w:val="Normal"/>
    <w:link w:val="PiedepginaCar"/>
    <w:semiHidden/>
    <w:rsid w:val="00E318E6"/>
    <w:pPr>
      <w:tabs>
        <w:tab w:val="center" w:pos="4252"/>
        <w:tab w:val="right" w:pos="8504"/>
      </w:tabs>
    </w:pPr>
  </w:style>
  <w:style w:type="character" w:customStyle="1" w:styleId="PiedepginaCar">
    <w:name w:val="Pie de página Car"/>
    <w:basedOn w:val="Fuentedeprrafopredeter"/>
    <w:link w:val="Piedepgina"/>
    <w:semiHidden/>
    <w:rsid w:val="00E318E6"/>
    <w:rPr>
      <w:rFonts w:ascii="Arial" w:eastAsia="Times New Roman" w:hAnsi="Arial" w:cs="Times New Roman"/>
      <w:sz w:val="24"/>
      <w:szCs w:val="24"/>
      <w:lang w:val="es-ES" w:eastAsia="es-ES"/>
    </w:rPr>
  </w:style>
  <w:style w:type="character" w:styleId="Nmerodepgina">
    <w:name w:val="page number"/>
    <w:basedOn w:val="Fuentedeprrafopredeter"/>
    <w:semiHidden/>
    <w:rsid w:val="00E31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318E6"/>
    <w:pPr>
      <w:keepNext/>
      <w:spacing w:line="360" w:lineRule="auto"/>
      <w:jc w:val="center"/>
      <w:outlineLvl w:val="0"/>
    </w:pPr>
    <w:rPr>
      <w:rFonts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18E6"/>
    <w:rPr>
      <w:rFonts w:ascii="Arial" w:eastAsia="Times New Roman" w:hAnsi="Arial" w:cs="Arial"/>
      <w:b/>
      <w:bCs/>
      <w:sz w:val="24"/>
      <w:szCs w:val="20"/>
      <w:lang w:val="es-ES" w:eastAsia="es-ES"/>
    </w:rPr>
  </w:style>
  <w:style w:type="paragraph" w:styleId="Piedepgina">
    <w:name w:val="footer"/>
    <w:basedOn w:val="Normal"/>
    <w:link w:val="PiedepginaCar"/>
    <w:semiHidden/>
    <w:rsid w:val="00E318E6"/>
    <w:pPr>
      <w:tabs>
        <w:tab w:val="center" w:pos="4252"/>
        <w:tab w:val="right" w:pos="8504"/>
      </w:tabs>
    </w:pPr>
  </w:style>
  <w:style w:type="character" w:customStyle="1" w:styleId="PiedepginaCar">
    <w:name w:val="Pie de página Car"/>
    <w:basedOn w:val="Fuentedeprrafopredeter"/>
    <w:link w:val="Piedepgina"/>
    <w:semiHidden/>
    <w:rsid w:val="00E318E6"/>
    <w:rPr>
      <w:rFonts w:ascii="Arial" w:eastAsia="Times New Roman" w:hAnsi="Arial" w:cs="Times New Roman"/>
      <w:sz w:val="24"/>
      <w:szCs w:val="24"/>
      <w:lang w:val="es-ES" w:eastAsia="es-ES"/>
    </w:rPr>
  </w:style>
  <w:style w:type="character" w:styleId="Nmerodepgina">
    <w:name w:val="page number"/>
    <w:basedOn w:val="Fuentedeprrafopredeter"/>
    <w:semiHidden/>
    <w:rsid w:val="00E3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1731</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ALBERTO ALMADA SILVA</dc:creator>
  <cp:keywords/>
  <dc:description/>
  <cp:lastModifiedBy>Mariangeles Prado</cp:lastModifiedBy>
  <cp:revision>2</cp:revision>
  <dcterms:created xsi:type="dcterms:W3CDTF">2013-11-15T20:08:00Z</dcterms:created>
  <dcterms:modified xsi:type="dcterms:W3CDTF">2013-11-15T20:08:00Z</dcterms:modified>
</cp:coreProperties>
</file>