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CB" w:rsidRDefault="003A6ECB">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3A6ECB" w:rsidRDefault="003A6ECB">
      <w:pPr>
        <w:tabs>
          <w:tab w:val="left" w:pos="-720"/>
        </w:tabs>
        <w:suppressAutoHyphens/>
        <w:jc w:val="center"/>
        <w:rPr>
          <w:rFonts w:ascii="Helvetica" w:hAnsi="Helvetica"/>
          <w:b/>
          <w:lang w:val="es-ES_tradnl"/>
        </w:rPr>
      </w:pPr>
    </w:p>
    <w:p w:rsidR="003A6ECB" w:rsidRDefault="003A6ECB">
      <w:pPr>
        <w:tabs>
          <w:tab w:val="center" w:pos="4253"/>
        </w:tabs>
        <w:suppressAutoHyphens/>
        <w:jc w:val="center"/>
        <w:rPr>
          <w:rFonts w:ascii="Helvetica" w:hAnsi="Helvetica"/>
          <w:b/>
          <w:lang w:val="es-ES_tradnl"/>
        </w:rPr>
      </w:pPr>
      <w:r>
        <w:rPr>
          <w:rFonts w:ascii="Helvetica" w:hAnsi="Helvetica"/>
          <w:b/>
          <w:lang w:val="es-ES_tradnl"/>
        </w:rPr>
        <w:t>TRIBUNAL DE CUENTAS</w:t>
      </w:r>
    </w:p>
    <w:p w:rsidR="003A6ECB" w:rsidRDefault="003A6ECB">
      <w:pPr>
        <w:tabs>
          <w:tab w:val="left" w:pos="-720"/>
        </w:tabs>
        <w:suppressAutoHyphens/>
        <w:jc w:val="center"/>
        <w:rPr>
          <w:rFonts w:ascii="Helvetica" w:hAnsi="Helvetica"/>
          <w:b/>
          <w:lang w:val="es-ES_tradnl"/>
        </w:rPr>
      </w:pPr>
    </w:p>
    <w:p w:rsidR="003A6ECB" w:rsidRDefault="003A6ECB">
      <w:pPr>
        <w:tabs>
          <w:tab w:val="center" w:pos="4253"/>
        </w:tabs>
        <w:suppressAutoHyphens/>
        <w:jc w:val="center"/>
        <w:rPr>
          <w:rFonts w:ascii="Helvetica" w:hAnsi="Helvetica"/>
          <w:b/>
          <w:lang w:val="es-ES_tradnl"/>
        </w:rPr>
      </w:pPr>
      <w:r>
        <w:rPr>
          <w:rFonts w:ascii="Helvetica" w:hAnsi="Helvetica"/>
          <w:b/>
          <w:lang w:val="es-ES_tradnl"/>
        </w:rPr>
        <w:t>EN SESION DE FECHA  6 DE NOVIEMBRE DE  2013</w:t>
      </w:r>
    </w:p>
    <w:p w:rsidR="003A6ECB" w:rsidRDefault="003A6ECB">
      <w:pPr>
        <w:tabs>
          <w:tab w:val="center" w:pos="4253"/>
        </w:tabs>
        <w:suppressAutoHyphens/>
        <w:jc w:val="center"/>
        <w:rPr>
          <w:rFonts w:ascii="Helvetica" w:hAnsi="Helvetica"/>
          <w:b/>
          <w:lang w:val="es-ES_tradnl"/>
        </w:rPr>
      </w:pPr>
    </w:p>
    <w:p w:rsidR="003A6ECB" w:rsidRPr="003A6ECB" w:rsidRDefault="003A6ECB" w:rsidP="003A6ECB">
      <w:pPr>
        <w:tabs>
          <w:tab w:val="center" w:pos="4253"/>
        </w:tabs>
        <w:suppressAutoHyphens/>
        <w:jc w:val="center"/>
        <w:rPr>
          <w:rFonts w:ascii="Helvetica" w:hAnsi="Helvetica"/>
          <w:b/>
          <w:lang w:val="es-UY"/>
        </w:rPr>
      </w:pPr>
      <w:r w:rsidRPr="003A6ECB">
        <w:rPr>
          <w:rFonts w:ascii="Helvetica" w:hAnsi="Helvetica"/>
          <w:b/>
          <w:lang w:val="es-UY"/>
        </w:rPr>
        <w:t>(E. E. Nº 2013-17-1-0006627, Ent. N°</w:t>
      </w:r>
      <w:r>
        <w:rPr>
          <w:rFonts w:ascii="Helvetica" w:hAnsi="Helvetica"/>
          <w:b/>
          <w:lang w:val="es-UY"/>
        </w:rPr>
        <w:t xml:space="preserve"> 5768/13.</w:t>
      </w:r>
      <w:r w:rsidRPr="003A6ECB">
        <w:rPr>
          <w:rFonts w:ascii="Helvetica" w:hAnsi="Helvetica"/>
          <w:b/>
          <w:lang w:val="es-UY"/>
        </w:rPr>
        <w:t>)</w:t>
      </w:r>
    </w:p>
    <w:p w:rsidR="003A6ECB" w:rsidRPr="003A6ECB" w:rsidRDefault="003A6ECB">
      <w:pPr>
        <w:tabs>
          <w:tab w:val="center" w:pos="4253"/>
        </w:tabs>
        <w:suppressAutoHyphens/>
        <w:jc w:val="center"/>
        <w:rPr>
          <w:spacing w:val="-3"/>
          <w:lang w:val="es-UY"/>
        </w:rPr>
      </w:pPr>
    </w:p>
    <w:p w:rsidR="00742FAE" w:rsidRDefault="00742FAE">
      <w:pPr>
        <w:jc w:val="center"/>
        <w:rPr>
          <w:b/>
          <w:bCs/>
        </w:rPr>
      </w:pPr>
    </w:p>
    <w:p w:rsidR="00742FAE" w:rsidRDefault="007540E2" w:rsidP="003A6ECB">
      <w:pPr>
        <w:spacing w:line="360" w:lineRule="auto"/>
        <w:ind w:firstLine="708"/>
        <w:jc w:val="both"/>
      </w:pPr>
      <w:r>
        <w:rPr>
          <w:b/>
          <w:bCs/>
        </w:rPr>
        <w:t xml:space="preserve">VISTO: </w:t>
      </w:r>
      <w:r>
        <w:t>las actuaciones remitidas por la Intendencia de Maldonado, relacionadas con la Licitación Abreviada Nº 36/13 para otorgar la concesión de la explotación comercial de un parador desmontable en la zona de Playa Brava de José Ignacio;</w:t>
      </w:r>
    </w:p>
    <w:p w:rsidR="00742FAE" w:rsidRDefault="007540E2" w:rsidP="003A6ECB">
      <w:pPr>
        <w:spacing w:line="360" w:lineRule="auto"/>
        <w:ind w:firstLine="708"/>
        <w:jc w:val="both"/>
      </w:pPr>
      <w:r>
        <w:rPr>
          <w:b/>
          <w:bCs/>
        </w:rPr>
        <w:t xml:space="preserve">RESULTANDO: 1)  </w:t>
      </w:r>
      <w:r>
        <w:t xml:space="preserve">que el Pliego de Condiciones  establece en su </w:t>
      </w:r>
      <w:r w:rsidR="003A6ECB">
        <w:t>N</w:t>
      </w:r>
      <w:r>
        <w:t>umeral 13</w:t>
      </w:r>
      <w:r w:rsidR="003A6ECB">
        <w:t>)</w:t>
      </w:r>
      <w:r>
        <w:t xml:space="preserve"> que se deberá agregar a la oferta determinados documentos, entre ellos: certificado notarial que acredite que el oferente sea persona jurídica habilitada para la licitación en caso de no tratarse de persona física (literal c); recibo original de compra de pliego que debe estar a nombre de la persona física o jurídica que sea oferente (</w:t>
      </w:r>
      <w:r w:rsidR="003A6ECB">
        <w:t>L</w:t>
      </w:r>
      <w:r>
        <w:t xml:space="preserve">iteral </w:t>
      </w:r>
      <w:r w:rsidR="003A6ECB">
        <w:t>D</w:t>
      </w:r>
      <w:r>
        <w:t>);</w:t>
      </w:r>
    </w:p>
    <w:p w:rsidR="00742FAE" w:rsidRDefault="007540E2" w:rsidP="003A6ECB">
      <w:pPr>
        <w:tabs>
          <w:tab w:val="left" w:pos="1843"/>
        </w:tabs>
        <w:spacing w:line="360" w:lineRule="auto"/>
        <w:ind w:firstLine="2552"/>
        <w:jc w:val="both"/>
      </w:pPr>
      <w:r>
        <w:rPr>
          <w:b/>
          <w:bCs/>
        </w:rPr>
        <w:t xml:space="preserve">2) </w:t>
      </w:r>
      <w:r>
        <w:t>que se efectuaron publicaciones en el sitio Web de Compras y Contrataciones Estatales en fecha 06.07.13, revista Contacto en fecha 10.07.13, y se enviaron invitaciones a ofertar a diversas firmas con fecha 07.05.13;</w:t>
      </w:r>
    </w:p>
    <w:p w:rsidR="00742FAE" w:rsidRDefault="007540E2" w:rsidP="003A6ECB">
      <w:pPr>
        <w:tabs>
          <w:tab w:val="left" w:pos="1843"/>
        </w:tabs>
        <w:spacing w:line="360" w:lineRule="auto"/>
        <w:ind w:firstLine="2552"/>
        <w:jc w:val="both"/>
      </w:pPr>
      <w:r>
        <w:rPr>
          <w:b/>
        </w:rPr>
        <w:t xml:space="preserve">3) </w:t>
      </w:r>
      <w:r>
        <w:t>que con fecha 06.08.13 se realizó el acto de apertura de la citada licitación presentándose tres ofertas correspondientes al Sr. Mariano Escobar González, empresa Pranagarden S.A. y Sra. María Angélica Valladarez Cuelho;</w:t>
      </w:r>
    </w:p>
    <w:p w:rsidR="00742FAE" w:rsidRDefault="007540E2" w:rsidP="003A6ECB">
      <w:pPr>
        <w:tabs>
          <w:tab w:val="left" w:pos="1843"/>
        </w:tabs>
        <w:spacing w:line="360" w:lineRule="auto"/>
        <w:ind w:firstLine="2552"/>
        <w:jc w:val="both"/>
      </w:pPr>
      <w:r>
        <w:rPr>
          <w:b/>
        </w:rPr>
        <w:t>4</w:t>
      </w:r>
      <w:r>
        <w:rPr>
          <w:b/>
          <w:bCs/>
        </w:rPr>
        <w:t>)</w:t>
      </w:r>
      <w:r>
        <w:t xml:space="preserve"> que en informe técnico de fecha 25.09.13, confeccionado por la Dirección General de Higiene y Protección Ambiental tomando en cuenta los informes ya producidos por otras dependencias, se entiende conveniente la adjudicación del procedimiento de referencia a la Oferta Nº1 del Sr. Mariano Escobar, por haber sido el mejor puntuado de acuerdo </w:t>
      </w:r>
      <w:r w:rsidR="003A6ECB">
        <w:t>con</w:t>
      </w:r>
      <w:r>
        <w:t xml:space="preserve"> los criterios de evaluación establecidos por los pliegos del llamado, como surge del cuadro comparativo de ofertas que integra el informe; </w:t>
      </w:r>
    </w:p>
    <w:p w:rsidR="00742FAE" w:rsidRDefault="007540E2" w:rsidP="003A6ECB">
      <w:pPr>
        <w:tabs>
          <w:tab w:val="left" w:pos="1843"/>
        </w:tabs>
        <w:spacing w:line="360" w:lineRule="auto"/>
        <w:ind w:firstLine="2552"/>
        <w:jc w:val="both"/>
        <w:rPr>
          <w:lang w:val="es-MX"/>
        </w:rPr>
      </w:pPr>
      <w:r>
        <w:rPr>
          <w:b/>
        </w:rPr>
        <w:lastRenderedPageBreak/>
        <w:t xml:space="preserve">5) </w:t>
      </w:r>
      <w:r>
        <w:t xml:space="preserve">que la Comisión Asesora de Adjudicaciones </w:t>
      </w:r>
      <w:bookmarkStart w:id="0" w:name="_GoBack"/>
      <w:bookmarkEnd w:id="0"/>
      <w:r>
        <w:t xml:space="preserve"> considera que las tres ofertas presentadas son admisibles, y sugiere adjudicar a la Oferta Nº</w:t>
      </w:r>
      <w:r w:rsidR="003A6ECB">
        <w:t xml:space="preserve"> </w:t>
      </w:r>
      <w:r>
        <w:t>1 del Sr. Mariano Escobar González la concesión en análisis, por resultar en su conjunto, la más conveniente para los intereses de la Administración;</w:t>
      </w:r>
    </w:p>
    <w:p w:rsidR="00742FAE" w:rsidRDefault="007540E2" w:rsidP="003A6ECB">
      <w:pPr>
        <w:tabs>
          <w:tab w:val="left" w:pos="1843"/>
        </w:tabs>
        <w:spacing w:line="360" w:lineRule="auto"/>
        <w:ind w:firstLine="2552"/>
        <w:jc w:val="both"/>
      </w:pPr>
      <w:r>
        <w:rPr>
          <w:b/>
          <w:lang w:val="es-MX"/>
        </w:rPr>
        <w:t>6</w:t>
      </w:r>
      <w:r>
        <w:rPr>
          <w:b/>
          <w:bCs/>
        </w:rPr>
        <w:t>)</w:t>
      </w:r>
      <w:r>
        <w:t xml:space="preserve"> que mediante Resolución 07780/2013 de fecha 04.10.13 el Director General de Hacienda en uso de atribuciones delegadas, dispuso la adjudicación de la concesión ad referéndum de la intervención de este Tribunal, al Sr. Mariano Escobar González en acuerdo </w:t>
      </w:r>
      <w:r w:rsidR="006378E6">
        <w:t>con</w:t>
      </w:r>
      <w:r>
        <w:t xml:space="preserve"> lo aconsejado por la Comisión Asesora de Adjudicaciones;</w:t>
      </w:r>
    </w:p>
    <w:p w:rsidR="00742FAE" w:rsidRDefault="007540E2" w:rsidP="003A6ECB">
      <w:pPr>
        <w:tabs>
          <w:tab w:val="left" w:pos="1843"/>
        </w:tabs>
        <w:spacing w:line="360" w:lineRule="auto"/>
        <w:ind w:firstLine="2552"/>
        <w:jc w:val="both"/>
      </w:pPr>
      <w:r>
        <w:rPr>
          <w:b/>
        </w:rPr>
        <w:t>7</w:t>
      </w:r>
      <w:r>
        <w:rPr>
          <w:rFonts w:cs="Arial"/>
          <w:b/>
          <w:lang w:val="es-MX"/>
        </w:rPr>
        <w:t xml:space="preserve">) </w:t>
      </w:r>
      <w:r>
        <w:rPr>
          <w:rFonts w:cs="Arial"/>
          <w:bCs/>
          <w:lang w:val="es-MX"/>
        </w:rPr>
        <w:t xml:space="preserve">que el adjudicatario pagará </w:t>
      </w:r>
      <w:r>
        <w:t>un canon en efectivo por la temporada de U$S 95.000, ofrece publicidad que avalúa en U$62.500 y una inversión en obras por un valor de U$ 144.780;</w:t>
      </w:r>
    </w:p>
    <w:p w:rsidR="00742FAE" w:rsidRDefault="007540E2" w:rsidP="003A6ECB">
      <w:pPr>
        <w:tabs>
          <w:tab w:val="left" w:pos="2127"/>
        </w:tabs>
        <w:spacing w:line="360" w:lineRule="auto"/>
        <w:ind w:firstLine="709"/>
        <w:jc w:val="both"/>
        <w:rPr>
          <w:bCs/>
        </w:rPr>
      </w:pPr>
      <w:r>
        <w:rPr>
          <w:b/>
          <w:bCs/>
        </w:rPr>
        <w:t xml:space="preserve">CONSIDERANDO: 1) </w:t>
      </w:r>
      <w:r>
        <w:rPr>
          <w:bCs/>
        </w:rPr>
        <w:t xml:space="preserve">que se ha dado cumplimiento a lo dispuesto por este Tribunal en </w:t>
      </w:r>
      <w:r>
        <w:t xml:space="preserve">Resoluciones de fechas 11.05.2005 y 28.03.2007 las cuales disponen que los Organismos del Estado, previamente a aprobar, modificar o rescindir concesiones contractuales de obras, de servicios, de uso de bienes del dominio público o del dominio privado del Estado o mixtas, deberán remitir los antecedentes a dictamen del Tribunal;  </w:t>
      </w:r>
    </w:p>
    <w:p w:rsidR="00742FAE" w:rsidRDefault="003A6ECB" w:rsidP="003A6ECB">
      <w:pPr>
        <w:tabs>
          <w:tab w:val="left" w:pos="2127"/>
        </w:tabs>
        <w:spacing w:line="360" w:lineRule="auto"/>
        <w:ind w:firstLine="2835"/>
        <w:jc w:val="both"/>
      </w:pPr>
      <w:r>
        <w:rPr>
          <w:b/>
          <w:bCs/>
        </w:rPr>
        <w:t xml:space="preserve"> </w:t>
      </w:r>
      <w:r w:rsidR="007540E2">
        <w:rPr>
          <w:b/>
          <w:bCs/>
        </w:rPr>
        <w:t xml:space="preserve">2) </w:t>
      </w:r>
      <w:r w:rsidR="007540E2">
        <w:t xml:space="preserve">que conforme al </w:t>
      </w:r>
      <w:r>
        <w:t>A</w:t>
      </w:r>
      <w:r w:rsidR="007540E2">
        <w:t>rtículo 48 del TOCAF, el pliego particular no podrá imponer al oferente ningún requisito que no esté directamente vinculado a la consideración del objeto de la contratación y a la evaluación de la oferta, reservándose sólo al oferente que resulte adjudicatario, la carga administrativa de la demostración de estar en condiciones formales de contratar, sin perjuicio de las responsabilidades penales, civiles o administrativas que pudieran corresponder;</w:t>
      </w:r>
    </w:p>
    <w:p w:rsidR="00742FAE" w:rsidRDefault="006378E6" w:rsidP="006378E6">
      <w:pPr>
        <w:tabs>
          <w:tab w:val="left" w:pos="2127"/>
        </w:tabs>
        <w:spacing w:line="360" w:lineRule="auto"/>
        <w:ind w:firstLine="2835"/>
        <w:jc w:val="both"/>
      </w:pPr>
      <w:r>
        <w:rPr>
          <w:b/>
        </w:rPr>
        <w:t xml:space="preserve"> </w:t>
      </w:r>
      <w:r w:rsidR="007540E2">
        <w:rPr>
          <w:b/>
        </w:rPr>
        <w:t>3</w:t>
      </w:r>
      <w:r w:rsidR="007540E2">
        <w:rPr>
          <w:b/>
          <w:bCs/>
        </w:rPr>
        <w:t>)</w:t>
      </w:r>
      <w:r w:rsidR="007540E2">
        <w:t xml:space="preserve"> que de las disposiciones previstas en la cláusula 13, no todas pueden </w:t>
      </w:r>
      <w:r>
        <w:t xml:space="preserve">ser </w:t>
      </w:r>
      <w:r w:rsidR="007540E2">
        <w:t>exig</w:t>
      </w:r>
      <w:r>
        <w:t>idas</w:t>
      </w:r>
      <w:r w:rsidR="007540E2">
        <w:t xml:space="preserve"> al oferente, sino que algunas de ellas sólo podrían ser exigidas al adjudicatario tal como se prevé en el precitado </w:t>
      </w:r>
      <w:r>
        <w:t>A</w:t>
      </w:r>
      <w:r w:rsidR="007540E2">
        <w:t>rtículo</w:t>
      </w:r>
      <w:r>
        <w:t>;</w:t>
      </w:r>
    </w:p>
    <w:p w:rsidR="00742FAE" w:rsidRDefault="007540E2" w:rsidP="006378E6">
      <w:pPr>
        <w:spacing w:line="360" w:lineRule="auto"/>
        <w:ind w:firstLine="708"/>
        <w:jc w:val="both"/>
        <w:rPr>
          <w:rFonts w:cs="Arial"/>
          <w:bCs/>
          <w:lang w:val="es-MX"/>
        </w:rPr>
      </w:pPr>
      <w:r>
        <w:rPr>
          <w:rFonts w:cs="Arial"/>
          <w:b/>
          <w:lang w:val="es-MX"/>
        </w:rPr>
        <w:t>ATENTO:</w:t>
      </w:r>
      <w:r>
        <w:rPr>
          <w:rFonts w:cs="Arial"/>
          <w:bCs/>
          <w:lang w:val="es-MX"/>
        </w:rPr>
        <w:t xml:space="preserve"> a lo precedentemente expuesto y a lo dispuesto en el Literal E) del Artículo 211 de la Constitución de la República; </w:t>
      </w:r>
    </w:p>
    <w:p w:rsidR="00742FAE" w:rsidRDefault="00742FAE">
      <w:pPr>
        <w:spacing w:line="360" w:lineRule="auto"/>
        <w:jc w:val="both"/>
        <w:rPr>
          <w:rFonts w:cs="Arial"/>
          <w:bCs/>
          <w:lang w:val="es-MX"/>
        </w:rPr>
      </w:pPr>
    </w:p>
    <w:p w:rsidR="00742FAE" w:rsidRPr="006378E6" w:rsidRDefault="007540E2">
      <w:pPr>
        <w:pStyle w:val="Ttulo1"/>
        <w:jc w:val="center"/>
        <w:rPr>
          <w:bCs/>
        </w:rPr>
      </w:pPr>
      <w:r w:rsidRPr="006378E6">
        <w:rPr>
          <w:bCs/>
        </w:rPr>
        <w:t>EL TRIBUNAL ACUERDA</w:t>
      </w:r>
    </w:p>
    <w:p w:rsidR="00742FAE" w:rsidRDefault="006378E6" w:rsidP="006378E6">
      <w:pPr>
        <w:spacing w:line="360" w:lineRule="auto"/>
        <w:ind w:left="426" w:hanging="426"/>
        <w:jc w:val="both"/>
        <w:rPr>
          <w:b/>
          <w:bCs/>
          <w:lang w:val="es-MX"/>
        </w:rPr>
      </w:pPr>
      <w:r w:rsidRPr="006378E6">
        <w:rPr>
          <w:rFonts w:cs="Arial"/>
          <w:b/>
          <w:bCs/>
          <w:lang w:val="es-MX"/>
        </w:rPr>
        <w:t>1)</w:t>
      </w:r>
      <w:r>
        <w:rPr>
          <w:rFonts w:cs="Arial"/>
          <w:bCs/>
          <w:lang w:val="es-MX"/>
        </w:rPr>
        <w:t xml:space="preserve"> </w:t>
      </w:r>
      <w:r w:rsidR="007540E2">
        <w:rPr>
          <w:rFonts w:cs="Arial"/>
          <w:bCs/>
          <w:lang w:val="es-MX"/>
        </w:rPr>
        <w:t xml:space="preserve">Observar el procedimiento seguido para </w:t>
      </w:r>
      <w:r w:rsidR="007540E2">
        <w:t>otorgar la concesión de la explotación comercial de un parador desmontable en la zona de Playa Brava de José Ignacio, por lo expresado en los Considerandos 2) y 3);</w:t>
      </w:r>
    </w:p>
    <w:p w:rsidR="00742FAE" w:rsidRDefault="006378E6" w:rsidP="006378E6">
      <w:pPr>
        <w:spacing w:line="360" w:lineRule="auto"/>
        <w:jc w:val="both"/>
        <w:rPr>
          <w:b/>
          <w:bCs/>
          <w:lang w:val="es-MX"/>
        </w:rPr>
      </w:pPr>
      <w:r w:rsidRPr="006378E6">
        <w:rPr>
          <w:b/>
        </w:rPr>
        <w:t>2)</w:t>
      </w:r>
      <w:r>
        <w:t xml:space="preserve">   </w:t>
      </w:r>
      <w:r w:rsidR="007540E2">
        <w:t>Dar cuenta a la Junta Departamental de Maldonado</w:t>
      </w:r>
      <w:r>
        <w:t>; y</w:t>
      </w:r>
    </w:p>
    <w:p w:rsidR="00742FAE" w:rsidRDefault="006378E6" w:rsidP="006378E6">
      <w:pPr>
        <w:spacing w:line="360" w:lineRule="auto"/>
        <w:jc w:val="both"/>
        <w:rPr>
          <w:b/>
          <w:bCs/>
          <w:lang w:val="es-MX"/>
        </w:rPr>
      </w:pPr>
      <w:r w:rsidRPr="006378E6">
        <w:rPr>
          <w:rFonts w:cs="Arial"/>
          <w:b/>
          <w:bCs/>
          <w:lang w:val="es-MX"/>
        </w:rPr>
        <w:t>3)</w:t>
      </w:r>
      <w:r>
        <w:rPr>
          <w:rFonts w:cs="Arial"/>
          <w:b/>
          <w:bCs/>
          <w:lang w:val="es-MX"/>
        </w:rPr>
        <w:t xml:space="preserve">   </w:t>
      </w:r>
      <w:r w:rsidR="007540E2">
        <w:rPr>
          <w:rFonts w:cs="Arial"/>
          <w:bCs/>
        </w:rPr>
        <w:t>Devolver las actuaciones a la Intendencia de Maldonado.</w:t>
      </w:r>
    </w:p>
    <w:p w:rsidR="00742FAE" w:rsidRDefault="00742FAE">
      <w:pPr>
        <w:spacing w:line="360" w:lineRule="auto"/>
        <w:jc w:val="both"/>
        <w:rPr>
          <w:rFonts w:cs="Arial"/>
          <w:bCs/>
          <w:lang w:val="es-MX"/>
        </w:rPr>
      </w:pPr>
    </w:p>
    <w:p w:rsidR="006378E6" w:rsidRDefault="006378E6">
      <w:pPr>
        <w:spacing w:line="360" w:lineRule="auto"/>
        <w:jc w:val="both"/>
        <w:rPr>
          <w:rFonts w:cs="Arial"/>
          <w:bCs/>
          <w:lang w:val="es-MX"/>
        </w:rPr>
      </w:pPr>
    </w:p>
    <w:p w:rsidR="006378E6" w:rsidRDefault="006378E6">
      <w:pPr>
        <w:spacing w:line="360" w:lineRule="auto"/>
        <w:jc w:val="both"/>
        <w:rPr>
          <w:rFonts w:cs="Arial"/>
          <w:bCs/>
          <w:lang w:val="es-MX"/>
        </w:rPr>
      </w:pPr>
    </w:p>
    <w:p w:rsidR="006378E6" w:rsidRDefault="006378E6">
      <w:pPr>
        <w:spacing w:line="360" w:lineRule="auto"/>
        <w:jc w:val="both"/>
        <w:rPr>
          <w:rFonts w:cs="Arial"/>
          <w:bCs/>
          <w:lang w:val="es-MX"/>
        </w:rPr>
      </w:pPr>
    </w:p>
    <w:p w:rsidR="006378E6" w:rsidRDefault="006378E6">
      <w:pPr>
        <w:spacing w:line="360" w:lineRule="auto"/>
        <w:jc w:val="both"/>
        <w:rPr>
          <w:rFonts w:cs="Arial"/>
          <w:bCs/>
          <w:lang w:val="es-MX"/>
        </w:rPr>
      </w:pPr>
    </w:p>
    <w:p w:rsidR="006378E6" w:rsidRDefault="006378E6">
      <w:pPr>
        <w:spacing w:line="360" w:lineRule="auto"/>
        <w:jc w:val="both"/>
        <w:rPr>
          <w:rFonts w:cs="Arial"/>
          <w:bCs/>
          <w:lang w:val="es-MX"/>
        </w:rPr>
      </w:pPr>
    </w:p>
    <w:p w:rsidR="006378E6" w:rsidRDefault="006378E6">
      <w:pPr>
        <w:spacing w:line="360" w:lineRule="auto"/>
        <w:jc w:val="both"/>
        <w:rPr>
          <w:rFonts w:cs="Arial"/>
          <w:bCs/>
          <w:lang w:val="es-MX"/>
        </w:rPr>
      </w:pPr>
      <w:r>
        <w:rPr>
          <w:rFonts w:cs="Arial"/>
          <w:bCs/>
          <w:lang w:val="es-MX"/>
        </w:rPr>
        <w:t>cr</w:t>
      </w:r>
    </w:p>
    <w:p w:rsidR="00742FAE" w:rsidRDefault="00742FAE">
      <w:pPr>
        <w:spacing w:line="360" w:lineRule="auto"/>
        <w:jc w:val="both"/>
        <w:rPr>
          <w:rFonts w:cs="Arial"/>
          <w:bCs/>
          <w:lang w:val="es-MX"/>
        </w:rPr>
      </w:pPr>
    </w:p>
    <w:sectPr w:rsidR="00742FAE">
      <w:footerReference w:type="even" r:id="rId8"/>
      <w:footerReference w:type="default" r:id="rId9"/>
      <w:pgSz w:w="11907" w:h="16840" w:code="9"/>
      <w:pgMar w:top="2835" w:right="170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FAE" w:rsidRDefault="007540E2">
      <w:r>
        <w:separator/>
      </w:r>
    </w:p>
  </w:endnote>
  <w:endnote w:type="continuationSeparator" w:id="0">
    <w:p w:rsidR="00742FAE" w:rsidRDefault="0075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FAE" w:rsidRDefault="007540E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42FAE" w:rsidRDefault="00742F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FAE" w:rsidRDefault="007540E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6628">
      <w:rPr>
        <w:rStyle w:val="Nmerodepgina"/>
        <w:noProof/>
      </w:rPr>
      <w:t>2</w:t>
    </w:r>
    <w:r>
      <w:rPr>
        <w:rStyle w:val="Nmerodepgina"/>
      </w:rPr>
      <w:fldChar w:fldCharType="end"/>
    </w:r>
  </w:p>
  <w:p w:rsidR="00742FAE" w:rsidRDefault="00742F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FAE" w:rsidRDefault="007540E2">
      <w:r>
        <w:separator/>
      </w:r>
    </w:p>
  </w:footnote>
  <w:footnote w:type="continuationSeparator" w:id="0">
    <w:p w:rsidR="00742FAE" w:rsidRDefault="007540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5920"/>
    <w:multiLevelType w:val="hybridMultilevel"/>
    <w:tmpl w:val="B636AD68"/>
    <w:lvl w:ilvl="0" w:tplc="0254AC12">
      <w:start w:val="1"/>
      <w:numFmt w:val="decimal"/>
      <w:lvlText w:val="%1)"/>
      <w:lvlJc w:val="left"/>
      <w:pPr>
        <w:tabs>
          <w:tab w:val="num" w:pos="675"/>
        </w:tabs>
        <w:ind w:left="675" w:hanging="360"/>
      </w:pPr>
      <w:rPr>
        <w:rFonts w:cs="Arial" w:hint="default"/>
      </w:rPr>
    </w:lvl>
    <w:lvl w:ilvl="1" w:tplc="0C0A0019" w:tentative="1">
      <w:start w:val="1"/>
      <w:numFmt w:val="lowerLetter"/>
      <w:lvlText w:val="%2."/>
      <w:lvlJc w:val="left"/>
      <w:pPr>
        <w:tabs>
          <w:tab w:val="num" w:pos="1395"/>
        </w:tabs>
        <w:ind w:left="1395" w:hanging="360"/>
      </w:pPr>
    </w:lvl>
    <w:lvl w:ilvl="2" w:tplc="0C0A001B" w:tentative="1">
      <w:start w:val="1"/>
      <w:numFmt w:val="lowerRoman"/>
      <w:lvlText w:val="%3."/>
      <w:lvlJc w:val="right"/>
      <w:pPr>
        <w:tabs>
          <w:tab w:val="num" w:pos="2115"/>
        </w:tabs>
        <w:ind w:left="2115" w:hanging="180"/>
      </w:pPr>
    </w:lvl>
    <w:lvl w:ilvl="3" w:tplc="0C0A000F" w:tentative="1">
      <w:start w:val="1"/>
      <w:numFmt w:val="decimal"/>
      <w:lvlText w:val="%4."/>
      <w:lvlJc w:val="left"/>
      <w:pPr>
        <w:tabs>
          <w:tab w:val="num" w:pos="2835"/>
        </w:tabs>
        <w:ind w:left="2835" w:hanging="360"/>
      </w:pPr>
    </w:lvl>
    <w:lvl w:ilvl="4" w:tplc="0C0A0019" w:tentative="1">
      <w:start w:val="1"/>
      <w:numFmt w:val="lowerLetter"/>
      <w:lvlText w:val="%5."/>
      <w:lvlJc w:val="left"/>
      <w:pPr>
        <w:tabs>
          <w:tab w:val="num" w:pos="3555"/>
        </w:tabs>
        <w:ind w:left="3555" w:hanging="360"/>
      </w:pPr>
    </w:lvl>
    <w:lvl w:ilvl="5" w:tplc="0C0A001B" w:tentative="1">
      <w:start w:val="1"/>
      <w:numFmt w:val="lowerRoman"/>
      <w:lvlText w:val="%6."/>
      <w:lvlJc w:val="right"/>
      <w:pPr>
        <w:tabs>
          <w:tab w:val="num" w:pos="4275"/>
        </w:tabs>
        <w:ind w:left="4275" w:hanging="180"/>
      </w:pPr>
    </w:lvl>
    <w:lvl w:ilvl="6" w:tplc="0C0A000F" w:tentative="1">
      <w:start w:val="1"/>
      <w:numFmt w:val="decimal"/>
      <w:lvlText w:val="%7."/>
      <w:lvlJc w:val="left"/>
      <w:pPr>
        <w:tabs>
          <w:tab w:val="num" w:pos="4995"/>
        </w:tabs>
        <w:ind w:left="4995" w:hanging="360"/>
      </w:pPr>
    </w:lvl>
    <w:lvl w:ilvl="7" w:tplc="0C0A0019" w:tentative="1">
      <w:start w:val="1"/>
      <w:numFmt w:val="lowerLetter"/>
      <w:lvlText w:val="%8."/>
      <w:lvlJc w:val="left"/>
      <w:pPr>
        <w:tabs>
          <w:tab w:val="num" w:pos="5715"/>
        </w:tabs>
        <w:ind w:left="5715" w:hanging="360"/>
      </w:pPr>
    </w:lvl>
    <w:lvl w:ilvl="8" w:tplc="0C0A001B" w:tentative="1">
      <w:start w:val="1"/>
      <w:numFmt w:val="lowerRoman"/>
      <w:lvlText w:val="%9."/>
      <w:lvlJc w:val="right"/>
      <w:pPr>
        <w:tabs>
          <w:tab w:val="num" w:pos="6435"/>
        </w:tabs>
        <w:ind w:left="6435" w:hanging="180"/>
      </w:pPr>
    </w:lvl>
  </w:abstractNum>
  <w:abstractNum w:abstractNumId="1">
    <w:nsid w:val="31FD7747"/>
    <w:multiLevelType w:val="hybridMultilevel"/>
    <w:tmpl w:val="2584B494"/>
    <w:lvl w:ilvl="0" w:tplc="E21E3942">
      <w:start w:val="2"/>
      <w:numFmt w:val="decimal"/>
      <w:lvlText w:val="%1)"/>
      <w:lvlJc w:val="left"/>
      <w:pPr>
        <w:tabs>
          <w:tab w:val="num" w:pos="720"/>
        </w:tabs>
        <w:ind w:left="720" w:hanging="360"/>
      </w:pPr>
      <w:rPr>
        <w:rFonts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73D3217"/>
    <w:multiLevelType w:val="hybridMultilevel"/>
    <w:tmpl w:val="73B439F2"/>
    <w:lvl w:ilvl="0" w:tplc="73BC7E58">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0AA4173"/>
    <w:multiLevelType w:val="hybridMultilevel"/>
    <w:tmpl w:val="E9BC7628"/>
    <w:lvl w:ilvl="0" w:tplc="1D6ACC66">
      <w:start w:val="1"/>
      <w:numFmt w:val="decimal"/>
      <w:lvlText w:val="%1)"/>
      <w:lvlJc w:val="left"/>
      <w:pPr>
        <w:tabs>
          <w:tab w:val="num" w:pos="720"/>
        </w:tabs>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AA825C2"/>
    <w:multiLevelType w:val="hybridMultilevel"/>
    <w:tmpl w:val="DD3C0B2A"/>
    <w:lvl w:ilvl="0" w:tplc="8500E37E">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ECB"/>
    <w:rsid w:val="003A6ECB"/>
    <w:rsid w:val="006378E6"/>
    <w:rsid w:val="00742FAE"/>
    <w:rsid w:val="007540E2"/>
    <w:rsid w:val="007B662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jc w:val="center"/>
      <w:outlineLvl w:val="1"/>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Licitación Publica o abreviada</vt:lpstr>
    </vt:vector>
  </TitlesOfParts>
  <Company>Tribunal de Cuentas</Company>
  <LinksUpToDate>false</LinksUpToDate>
  <CharactersWithSpaces>4096</CharactersWithSpaces>
  <SharedDoc>false</SharedDoc>
  <HLinks>
    <vt:vector size="6" baseType="variant">
      <vt:variant>
        <vt:i4>3145814</vt:i4>
      </vt:variant>
      <vt:variant>
        <vt:i4>0</vt:i4>
      </vt:variant>
      <vt:variant>
        <vt:i4>0</vt:i4>
      </vt:variant>
      <vt:variant>
        <vt:i4>5</vt:i4>
      </vt:variant>
      <vt:variant>
        <vt:lpwstr>\\Tcrnw03\vol1\USUARIOS\JUR-GDEP\Misdocumentos\CONCESIONES\MALDONADO\2013-17-1-0006627 e5768.doc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Publica o abreviada</dc:title>
  <dc:subject/>
  <dc:creator>Tribunal de Cuentas</dc:creator>
  <cp:keywords/>
  <cp:lastModifiedBy>Miriam Cristina Rivero</cp:lastModifiedBy>
  <cp:revision>2</cp:revision>
  <cp:lastPrinted>2013-11-07T15:56:00Z</cp:lastPrinted>
  <dcterms:created xsi:type="dcterms:W3CDTF">2013-11-07T15:57:00Z</dcterms:created>
  <dcterms:modified xsi:type="dcterms:W3CDTF">2013-11-07T15:57:00Z</dcterms:modified>
</cp:coreProperties>
</file>