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C9" w:rsidRDefault="00850DC9">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850DC9" w:rsidRDefault="00850DC9">
      <w:pPr>
        <w:tabs>
          <w:tab w:val="left" w:pos="-720"/>
        </w:tabs>
        <w:suppressAutoHyphens/>
        <w:jc w:val="center"/>
        <w:rPr>
          <w:rFonts w:ascii="Helvetica" w:hAnsi="Helvetica"/>
          <w:b/>
          <w:lang w:val="es-ES_tradnl"/>
        </w:rPr>
      </w:pPr>
    </w:p>
    <w:p w:rsidR="00850DC9" w:rsidRDefault="00850DC9">
      <w:pPr>
        <w:tabs>
          <w:tab w:val="center" w:pos="4253"/>
        </w:tabs>
        <w:suppressAutoHyphens/>
        <w:jc w:val="center"/>
        <w:rPr>
          <w:rFonts w:ascii="Helvetica" w:hAnsi="Helvetica"/>
          <w:b/>
          <w:lang w:val="es-ES_tradnl"/>
        </w:rPr>
      </w:pPr>
      <w:r>
        <w:rPr>
          <w:rFonts w:ascii="Helvetica" w:hAnsi="Helvetica"/>
          <w:b/>
          <w:lang w:val="es-ES_tradnl"/>
        </w:rPr>
        <w:t>TRIBUNAL DE CUENTAS</w:t>
      </w:r>
    </w:p>
    <w:p w:rsidR="00850DC9" w:rsidRDefault="00850DC9">
      <w:pPr>
        <w:tabs>
          <w:tab w:val="left" w:pos="-720"/>
        </w:tabs>
        <w:suppressAutoHyphens/>
        <w:jc w:val="center"/>
        <w:rPr>
          <w:rFonts w:ascii="Helvetica" w:hAnsi="Helvetica"/>
          <w:b/>
          <w:lang w:val="es-ES_tradnl"/>
        </w:rPr>
      </w:pPr>
    </w:p>
    <w:p w:rsidR="00850DC9" w:rsidRDefault="00850DC9">
      <w:pPr>
        <w:tabs>
          <w:tab w:val="center" w:pos="4253"/>
        </w:tabs>
        <w:suppressAutoHyphens/>
        <w:jc w:val="center"/>
        <w:rPr>
          <w:rFonts w:ascii="Helvetica" w:hAnsi="Helvetica"/>
          <w:b/>
          <w:lang w:val="es-ES_tradnl"/>
        </w:rPr>
      </w:pPr>
      <w:r>
        <w:rPr>
          <w:rFonts w:ascii="Helvetica" w:hAnsi="Helvetica"/>
          <w:b/>
          <w:lang w:val="es-ES_tradnl"/>
        </w:rPr>
        <w:t>EN SESION DE FECHA  6 DE NOVIEMBRE DE  2013</w:t>
      </w:r>
    </w:p>
    <w:p w:rsidR="00850DC9" w:rsidRDefault="00850DC9">
      <w:pPr>
        <w:tabs>
          <w:tab w:val="center" w:pos="4253"/>
        </w:tabs>
        <w:suppressAutoHyphens/>
        <w:jc w:val="center"/>
        <w:rPr>
          <w:rFonts w:ascii="Helvetica" w:hAnsi="Helvetica"/>
          <w:b/>
          <w:lang w:val="es-ES_tradnl"/>
        </w:rPr>
      </w:pPr>
    </w:p>
    <w:p w:rsidR="00850DC9" w:rsidRPr="00966BCA" w:rsidRDefault="00850DC9">
      <w:pPr>
        <w:tabs>
          <w:tab w:val="center" w:pos="4253"/>
        </w:tabs>
        <w:suppressAutoHyphens/>
        <w:jc w:val="center"/>
        <w:rPr>
          <w:rFonts w:ascii="Helvetica" w:hAnsi="Helvetica"/>
          <w:b/>
          <w:lang w:val="es-UY"/>
        </w:rPr>
      </w:pPr>
      <w:r w:rsidRPr="00966BCA">
        <w:rPr>
          <w:rFonts w:ascii="Helvetica" w:hAnsi="Helvetica"/>
          <w:b/>
          <w:lang w:val="es-UY"/>
        </w:rPr>
        <w:t>(E. E. Nº 2013-17-1-0006422, Ent. N° 5816/13.)</w:t>
      </w:r>
    </w:p>
    <w:p w:rsidR="00850DC9" w:rsidRPr="00966BCA" w:rsidRDefault="00850DC9">
      <w:pPr>
        <w:tabs>
          <w:tab w:val="center" w:pos="4253"/>
        </w:tabs>
        <w:suppressAutoHyphens/>
        <w:jc w:val="center"/>
        <w:rPr>
          <w:rFonts w:ascii="Arial" w:hAnsi="Arial"/>
          <w:spacing w:val="-3"/>
          <w:lang w:val="es-UY"/>
        </w:rPr>
      </w:pPr>
    </w:p>
    <w:p w:rsidR="000D0E05" w:rsidRDefault="000D0E05">
      <w:pPr>
        <w:rPr>
          <w:rFonts w:ascii="Arial" w:hAnsi="Arial" w:cs="Arial"/>
          <w:lang w:val="es-MX"/>
        </w:rPr>
      </w:pPr>
    </w:p>
    <w:p w:rsidR="000D0E05" w:rsidRDefault="00276EF4" w:rsidP="00850DC9">
      <w:pPr>
        <w:spacing w:line="360" w:lineRule="auto"/>
        <w:ind w:firstLine="708"/>
        <w:jc w:val="both"/>
        <w:rPr>
          <w:rFonts w:ascii="Arial" w:hAnsi="Arial" w:cs="Arial"/>
          <w:bCs/>
          <w:lang w:val="es-MX"/>
        </w:rPr>
      </w:pPr>
      <w:r>
        <w:rPr>
          <w:rFonts w:ascii="Arial" w:hAnsi="Arial" w:cs="Arial"/>
          <w:b/>
          <w:bCs/>
          <w:lang w:val="es-MX"/>
        </w:rPr>
        <w:t xml:space="preserve">VISTO: </w:t>
      </w:r>
      <w:r>
        <w:rPr>
          <w:rFonts w:ascii="Arial" w:hAnsi="Arial" w:cs="Arial"/>
          <w:lang w:val="es-MX"/>
        </w:rPr>
        <w:t xml:space="preserve">estas actuaciones remitidas por la Intendencia de Canelones </w:t>
      </w:r>
      <w:r>
        <w:rPr>
          <w:rFonts w:ascii="Arial" w:hAnsi="Arial" w:cs="Arial"/>
          <w:bCs/>
          <w:lang w:val="es-MX"/>
        </w:rPr>
        <w:t>relacionadas con la contratación de la empresa Obras y Servicios del Uruguay S.A., adjudicataria de la Licitación Pública No. 19/06 para el suministro recargos y bacheos en tosca, limpieza y colocación de caños de hormigón para alcantarillas de evacuación de pluviales en las Villas de El Tato, Aeroparque, Nicolich y Sta. Teresita;</w:t>
      </w:r>
    </w:p>
    <w:p w:rsidR="000D0E05" w:rsidRDefault="00276EF4" w:rsidP="00850DC9">
      <w:pPr>
        <w:spacing w:line="360" w:lineRule="auto"/>
        <w:ind w:firstLine="708"/>
        <w:jc w:val="both"/>
        <w:rPr>
          <w:rFonts w:ascii="Arial" w:hAnsi="Arial" w:cs="Arial"/>
          <w:bCs/>
          <w:lang w:val="es-MX"/>
        </w:rPr>
      </w:pPr>
      <w:r>
        <w:rPr>
          <w:rFonts w:ascii="Arial" w:hAnsi="Arial" w:cs="Arial"/>
          <w:b/>
          <w:lang w:val="es-MX"/>
        </w:rPr>
        <w:t xml:space="preserve">RESULTANDO: 1) </w:t>
      </w:r>
      <w:r>
        <w:rPr>
          <w:rFonts w:ascii="Arial" w:hAnsi="Arial" w:cs="Arial"/>
          <w:bCs/>
          <w:lang w:val="es-MX"/>
        </w:rPr>
        <w:t xml:space="preserve">que por Resolución N° 5033 de fecha 01/11/06, el </w:t>
      </w:r>
      <w:r>
        <w:rPr>
          <w:rFonts w:ascii="Arial" w:hAnsi="Arial" w:cs="Arial"/>
          <w:b/>
          <w:lang w:val="es-MX"/>
        </w:rPr>
        <w:t xml:space="preserve"> </w:t>
      </w:r>
      <w:r>
        <w:rPr>
          <w:rFonts w:ascii="Arial" w:hAnsi="Arial" w:cs="Arial"/>
          <w:bCs/>
          <w:lang w:val="es-MX"/>
        </w:rPr>
        <w:t xml:space="preserve">Intendente </w:t>
      </w:r>
      <w:bookmarkStart w:id="0" w:name="_GoBack"/>
      <w:bookmarkEnd w:id="0"/>
      <w:r>
        <w:rPr>
          <w:rFonts w:ascii="Arial" w:hAnsi="Arial" w:cs="Arial"/>
          <w:bCs/>
          <w:lang w:val="es-MX"/>
        </w:rPr>
        <w:t>adjudicó la licitación de referencia, a la firma Obras y Servicios del Uruguay S.A., por un monto de $ 27:997.650 impuestos incluidos;</w:t>
      </w:r>
    </w:p>
    <w:p w:rsidR="000D0E05" w:rsidRDefault="00850DC9" w:rsidP="00850DC9">
      <w:pPr>
        <w:spacing w:line="360" w:lineRule="auto"/>
        <w:ind w:firstLine="2552"/>
        <w:jc w:val="both"/>
        <w:rPr>
          <w:rFonts w:ascii="Arial" w:hAnsi="Arial" w:cs="Arial"/>
          <w:bCs/>
          <w:lang w:val="es-MX"/>
        </w:rPr>
      </w:pPr>
      <w:r>
        <w:rPr>
          <w:rFonts w:ascii="Arial" w:hAnsi="Arial" w:cs="Arial"/>
          <w:b/>
          <w:lang w:val="es-MX"/>
        </w:rPr>
        <w:t xml:space="preserve"> </w:t>
      </w:r>
      <w:r w:rsidR="00276EF4">
        <w:rPr>
          <w:rFonts w:ascii="Arial" w:hAnsi="Arial" w:cs="Arial"/>
          <w:b/>
          <w:lang w:val="es-MX"/>
        </w:rPr>
        <w:t xml:space="preserve">2) </w:t>
      </w:r>
      <w:r w:rsidR="00276EF4">
        <w:rPr>
          <w:rFonts w:ascii="Arial" w:hAnsi="Arial" w:cs="Arial"/>
          <w:bCs/>
          <w:lang w:val="es-MX"/>
        </w:rPr>
        <w:t>que este Tribunal con fecha 22/02/07, cometió a la Contadora Delegada en el Organismo la intervención del gasto;</w:t>
      </w:r>
    </w:p>
    <w:p w:rsidR="000D0E05" w:rsidRDefault="00276EF4" w:rsidP="00850DC9">
      <w:pPr>
        <w:spacing w:line="360" w:lineRule="auto"/>
        <w:ind w:firstLine="2552"/>
        <w:jc w:val="both"/>
        <w:rPr>
          <w:rFonts w:ascii="Arial" w:hAnsi="Arial" w:cs="Arial"/>
          <w:bCs/>
          <w:lang w:val="es-MX"/>
        </w:rPr>
      </w:pPr>
      <w:r>
        <w:rPr>
          <w:rFonts w:ascii="Arial" w:hAnsi="Arial" w:cs="Arial"/>
          <w:b/>
          <w:lang w:val="es-MX"/>
        </w:rPr>
        <w:t xml:space="preserve">3) </w:t>
      </w:r>
      <w:r>
        <w:rPr>
          <w:rFonts w:ascii="Arial" w:hAnsi="Arial" w:cs="Arial"/>
          <w:bCs/>
          <w:lang w:val="es-MX"/>
        </w:rPr>
        <w:t>que la Contadora Delegada con fecha 04/06/07, observó el gasto por c</w:t>
      </w:r>
      <w:r w:rsidR="00850DC9">
        <w:rPr>
          <w:rFonts w:ascii="Arial" w:hAnsi="Arial" w:cs="Arial"/>
          <w:bCs/>
          <w:lang w:val="es-MX"/>
        </w:rPr>
        <w:t xml:space="preserve">ontravenir </w:t>
      </w:r>
      <w:r>
        <w:rPr>
          <w:rFonts w:ascii="Arial" w:hAnsi="Arial" w:cs="Arial"/>
          <w:bCs/>
          <w:lang w:val="es-MX"/>
        </w:rPr>
        <w:t xml:space="preserve"> lo dispuesto por el </w:t>
      </w:r>
      <w:r w:rsidR="00850DC9">
        <w:rPr>
          <w:rFonts w:ascii="Arial" w:hAnsi="Arial" w:cs="Arial"/>
          <w:bCs/>
          <w:lang w:val="es-MX"/>
        </w:rPr>
        <w:t>A</w:t>
      </w:r>
      <w:r>
        <w:rPr>
          <w:rFonts w:ascii="Arial" w:hAnsi="Arial" w:cs="Arial"/>
          <w:bCs/>
          <w:lang w:val="es-MX"/>
        </w:rPr>
        <w:t>rt</w:t>
      </w:r>
      <w:r w:rsidR="00850DC9">
        <w:rPr>
          <w:rFonts w:ascii="Arial" w:hAnsi="Arial" w:cs="Arial"/>
          <w:bCs/>
          <w:lang w:val="es-MX"/>
        </w:rPr>
        <w:t>ículo</w:t>
      </w:r>
      <w:r>
        <w:rPr>
          <w:rFonts w:ascii="Arial" w:hAnsi="Arial" w:cs="Arial"/>
          <w:bCs/>
          <w:lang w:val="es-MX"/>
        </w:rPr>
        <w:t xml:space="preserve"> 15 del T.O.C.A.F.. Reiterado por el Organismo, este Tribunal con fecha 08/11/07 ratificó la observación; </w:t>
      </w:r>
    </w:p>
    <w:p w:rsidR="000D0E05" w:rsidRDefault="00276EF4" w:rsidP="00850DC9">
      <w:pPr>
        <w:spacing w:line="360" w:lineRule="auto"/>
        <w:ind w:firstLine="2552"/>
        <w:jc w:val="both"/>
        <w:rPr>
          <w:rFonts w:ascii="Arial" w:hAnsi="Arial" w:cs="Arial"/>
        </w:rPr>
      </w:pPr>
      <w:r>
        <w:rPr>
          <w:rFonts w:ascii="Arial" w:hAnsi="Arial" w:cs="Arial"/>
          <w:b/>
          <w:lang w:val="es-MX"/>
        </w:rPr>
        <w:t xml:space="preserve">4) </w:t>
      </w:r>
      <w:r>
        <w:rPr>
          <w:rFonts w:ascii="Arial" w:hAnsi="Arial" w:cs="Arial"/>
          <w:bCs/>
          <w:lang w:val="es-MX"/>
        </w:rPr>
        <w:t xml:space="preserve">que </w:t>
      </w:r>
      <w:r>
        <w:rPr>
          <w:rFonts w:ascii="Arial" w:hAnsi="Arial" w:cs="Arial"/>
          <w:bCs/>
        </w:rPr>
        <w:t>el Intendente de Canelones mediante Resolución de fecha 04/11/08, dispuso ampliar la licitación de referencia en un 50 % al amparo del Art</w:t>
      </w:r>
      <w:r w:rsidR="00850DC9">
        <w:rPr>
          <w:rFonts w:ascii="Arial" w:hAnsi="Arial" w:cs="Arial"/>
          <w:bCs/>
        </w:rPr>
        <w:t>ículo</w:t>
      </w:r>
      <w:r>
        <w:rPr>
          <w:rFonts w:ascii="Arial" w:hAnsi="Arial" w:cs="Arial"/>
          <w:bCs/>
        </w:rPr>
        <w:t xml:space="preserve"> 63 del T.O.C.A.F por un monto de </w:t>
      </w:r>
      <w:r>
        <w:rPr>
          <w:rFonts w:ascii="Arial" w:hAnsi="Arial" w:cs="Arial"/>
        </w:rPr>
        <w:t>$ 16:958.297,50 incluyendo ajuste paramétrico al 30/11/08, leyes sociales y ajuste por aumento de salarios;</w:t>
      </w:r>
    </w:p>
    <w:p w:rsidR="000D0E05" w:rsidRDefault="00276EF4" w:rsidP="00850DC9">
      <w:pPr>
        <w:spacing w:line="360" w:lineRule="auto"/>
        <w:ind w:firstLine="2552"/>
        <w:jc w:val="both"/>
        <w:rPr>
          <w:rFonts w:ascii="Arial" w:hAnsi="Arial" w:cs="Arial"/>
        </w:rPr>
      </w:pPr>
      <w:r>
        <w:rPr>
          <w:rFonts w:ascii="Arial" w:hAnsi="Arial" w:cs="Arial"/>
          <w:b/>
          <w:bCs/>
        </w:rPr>
        <w:t xml:space="preserve">5) </w:t>
      </w:r>
      <w:r>
        <w:rPr>
          <w:rFonts w:ascii="Arial" w:hAnsi="Arial" w:cs="Arial"/>
        </w:rPr>
        <w:t>que este Tribunal en sesión de fecha 21 de enero de 2009 intervino preventivamente el gasto de $ 16:958.297,5;</w:t>
      </w:r>
    </w:p>
    <w:p w:rsidR="000D0E05" w:rsidRDefault="00276EF4" w:rsidP="00850DC9">
      <w:pPr>
        <w:spacing w:line="360" w:lineRule="auto"/>
        <w:ind w:firstLine="2552"/>
        <w:jc w:val="both"/>
        <w:rPr>
          <w:rFonts w:ascii="Arial" w:hAnsi="Arial" w:cs="Arial"/>
        </w:rPr>
      </w:pPr>
      <w:r>
        <w:rPr>
          <w:rFonts w:ascii="Arial" w:hAnsi="Arial" w:cs="Arial"/>
          <w:b/>
          <w:bCs/>
        </w:rPr>
        <w:lastRenderedPageBreak/>
        <w:t xml:space="preserve">6) </w:t>
      </w:r>
      <w:r>
        <w:rPr>
          <w:rFonts w:ascii="Arial" w:hAnsi="Arial" w:cs="Arial"/>
        </w:rPr>
        <w:t>que con fecha 28 de mayo de 2010 la Dirección de Obras expresa que no se continuará con la tramitación y ante la finalización del mandato de Gobierno Departamental se remite a División Control Presupuestal a efectos de proceder a la desafectación de la pertinente reserva de rubro;</w:t>
      </w:r>
    </w:p>
    <w:p w:rsidR="000D0E05" w:rsidRDefault="00276EF4" w:rsidP="00850DC9">
      <w:pPr>
        <w:spacing w:line="360" w:lineRule="auto"/>
        <w:ind w:firstLine="2552"/>
        <w:jc w:val="both"/>
        <w:rPr>
          <w:rFonts w:ascii="Arial" w:hAnsi="Arial" w:cs="Arial"/>
        </w:rPr>
      </w:pPr>
      <w:r>
        <w:rPr>
          <w:rFonts w:ascii="Arial" w:hAnsi="Arial" w:cs="Arial"/>
          <w:b/>
          <w:bCs/>
        </w:rPr>
        <w:t xml:space="preserve">7) </w:t>
      </w:r>
      <w:r>
        <w:rPr>
          <w:rFonts w:ascii="Arial" w:hAnsi="Arial" w:cs="Arial"/>
        </w:rPr>
        <w:t>que con fecha 2 de junio de 2010 Control Presupuestal informa que la reserva se realizó en ejercicio 2008, el cual se encuentra cerrado, motivo por el cual no se puede realizar la desafectación de la misma;</w:t>
      </w:r>
    </w:p>
    <w:p w:rsidR="000D0E05" w:rsidRDefault="00276EF4" w:rsidP="00850DC9">
      <w:pPr>
        <w:spacing w:line="360" w:lineRule="auto"/>
        <w:ind w:firstLine="2552"/>
        <w:jc w:val="both"/>
        <w:rPr>
          <w:rFonts w:ascii="Arial" w:hAnsi="Arial" w:cs="Arial"/>
        </w:rPr>
      </w:pPr>
      <w:r>
        <w:rPr>
          <w:rFonts w:ascii="Arial" w:hAnsi="Arial" w:cs="Arial"/>
          <w:b/>
          <w:bCs/>
        </w:rPr>
        <w:t xml:space="preserve">8) </w:t>
      </w:r>
      <w:r>
        <w:rPr>
          <w:rFonts w:ascii="Arial" w:hAnsi="Arial" w:cs="Arial"/>
        </w:rPr>
        <w:t>que con fecha 7 de junio de 2010 la Dirección de Obras procede al archivo de las actuaciones;</w:t>
      </w:r>
    </w:p>
    <w:p w:rsidR="000D0E05" w:rsidRDefault="00276EF4" w:rsidP="00850DC9">
      <w:pPr>
        <w:spacing w:line="360" w:lineRule="auto"/>
        <w:ind w:firstLine="2552"/>
        <w:jc w:val="both"/>
        <w:rPr>
          <w:rFonts w:ascii="Arial" w:hAnsi="Arial" w:cs="Arial"/>
        </w:rPr>
      </w:pPr>
      <w:r>
        <w:rPr>
          <w:rFonts w:ascii="Arial" w:hAnsi="Arial" w:cs="Arial"/>
          <w:b/>
          <w:bCs/>
        </w:rPr>
        <w:t xml:space="preserve">9) </w:t>
      </w:r>
      <w:r>
        <w:rPr>
          <w:rFonts w:ascii="Arial" w:hAnsi="Arial" w:cs="Arial"/>
        </w:rPr>
        <w:t>que con fecha 24 de mayo de 2013 la Dirección de Obras procede al desarchivo de esos obrados;</w:t>
      </w:r>
    </w:p>
    <w:p w:rsidR="000D0E05" w:rsidRDefault="00850DC9" w:rsidP="00850DC9">
      <w:pPr>
        <w:spacing w:line="360" w:lineRule="auto"/>
        <w:ind w:firstLine="2410"/>
        <w:jc w:val="both"/>
        <w:rPr>
          <w:rFonts w:ascii="Arial" w:hAnsi="Arial" w:cs="Arial"/>
        </w:rPr>
      </w:pPr>
      <w:r>
        <w:rPr>
          <w:rFonts w:ascii="Arial" w:hAnsi="Arial" w:cs="Arial"/>
        </w:rPr>
        <w:t xml:space="preserve"> </w:t>
      </w:r>
      <w:r w:rsidR="00276EF4">
        <w:rPr>
          <w:rFonts w:ascii="Arial" w:hAnsi="Arial" w:cs="Arial"/>
          <w:b/>
          <w:bCs/>
        </w:rPr>
        <w:t>10)</w:t>
      </w:r>
      <w:r w:rsidR="00276EF4">
        <w:rPr>
          <w:rFonts w:ascii="Arial" w:hAnsi="Arial" w:cs="Arial"/>
        </w:rPr>
        <w:t xml:space="preserve"> que Control Presupuestal con fecha 20 de agosto de 2013 expresa que se retoman las actuaciones luego de ser archivadas y dado el tiempo transcurrido se deberá confirmar con la empresa adjudicada: Obras y Servicios del Uruguay S.A. el mantenimiento de la oferta y los montos adjudicados oportunamente;</w:t>
      </w:r>
    </w:p>
    <w:p w:rsidR="000D0E05" w:rsidRDefault="00276EF4" w:rsidP="00850DC9">
      <w:pPr>
        <w:spacing w:line="360" w:lineRule="auto"/>
        <w:ind w:firstLine="2552"/>
        <w:jc w:val="both"/>
        <w:rPr>
          <w:rFonts w:ascii="Arial" w:hAnsi="Arial" w:cs="Arial"/>
        </w:rPr>
      </w:pPr>
      <w:r>
        <w:rPr>
          <w:rFonts w:ascii="Arial" w:hAnsi="Arial" w:cs="Arial"/>
          <w:b/>
          <w:bCs/>
        </w:rPr>
        <w:t xml:space="preserve">11) </w:t>
      </w:r>
      <w:r>
        <w:rPr>
          <w:rFonts w:ascii="Arial" w:hAnsi="Arial" w:cs="Arial"/>
        </w:rPr>
        <w:t>que por nota de fecha 25 de junio de 2013 la empresa Obras y Servicios del Uruguay S.A. manifiesta su conformidad para la realización de trabajos en Barros Blancos con cargo a la Licitación Pública 19/06, en saldo básico y ampliaciones;</w:t>
      </w:r>
    </w:p>
    <w:p w:rsidR="000D0E05" w:rsidRDefault="00276EF4" w:rsidP="00850DC9">
      <w:pPr>
        <w:spacing w:line="360" w:lineRule="auto"/>
        <w:ind w:firstLine="2552"/>
        <w:jc w:val="both"/>
        <w:rPr>
          <w:rFonts w:ascii="Arial" w:hAnsi="Arial" w:cs="Arial"/>
        </w:rPr>
      </w:pPr>
      <w:r>
        <w:rPr>
          <w:rFonts w:ascii="Arial" w:hAnsi="Arial" w:cs="Arial"/>
          <w:b/>
          <w:bCs/>
        </w:rPr>
        <w:t xml:space="preserve">12) </w:t>
      </w:r>
      <w:r>
        <w:rPr>
          <w:rFonts w:ascii="Arial" w:hAnsi="Arial" w:cs="Arial"/>
        </w:rPr>
        <w:t xml:space="preserve">que las obras a realizar y sus montos son los </w:t>
      </w:r>
      <w:r w:rsidRPr="00276EF4">
        <w:rPr>
          <w:rFonts w:ascii="Arial" w:hAnsi="Arial" w:cs="Arial"/>
          <w:spacing w:val="8"/>
        </w:rPr>
        <w:t>siguientes: Pavimentos en Barros Blancos- Las Palmas $ 1.186.815 más $</w:t>
      </w:r>
      <w:r>
        <w:rPr>
          <w:rFonts w:ascii="Arial" w:hAnsi="Arial" w:cs="Arial"/>
        </w:rPr>
        <w:t xml:space="preserve"> 142.676 (leyes sociales) Ejecutado; Barros Blancos –El Tajamar $ 2.100.000 </w:t>
      </w:r>
      <w:r w:rsidRPr="00276EF4">
        <w:rPr>
          <w:rFonts w:ascii="Arial" w:hAnsi="Arial" w:cs="Arial"/>
          <w:spacing w:val="-10"/>
        </w:rPr>
        <w:t>(leyes sociales incluidas) / Previsto; Barros Blancos – Villa Manuela $</w:t>
      </w:r>
      <w:r>
        <w:rPr>
          <w:rFonts w:ascii="Arial" w:hAnsi="Arial" w:cs="Arial"/>
        </w:rPr>
        <w:t xml:space="preserve"> 2.100.000 (leyes sociales incluidas) / Previsto; Soca $ 2.297.871 más $ 285.354 (leyes sociales) /Ejecutado; Sauce $ 2.100.000 (leyes sociales incluidas) / Previsto; </w:t>
      </w:r>
      <w:r w:rsidRPr="00276EF4">
        <w:rPr>
          <w:rFonts w:ascii="Arial" w:hAnsi="Arial" w:cs="Arial"/>
          <w:spacing w:val="8"/>
        </w:rPr>
        <w:t xml:space="preserve">Progreso $ 2.000.000 (leyes sociales incluidas) / Previsto, Total </w:t>
      </w:r>
      <w:r w:rsidRPr="00276EF4">
        <w:rPr>
          <w:rFonts w:ascii="Arial" w:hAnsi="Arial" w:cs="Arial"/>
          <w:spacing w:val="8"/>
        </w:rPr>
        <w:lastRenderedPageBreak/>
        <w:t>ejecutado: $</w:t>
      </w:r>
      <w:r>
        <w:rPr>
          <w:rFonts w:ascii="Arial" w:hAnsi="Arial" w:cs="Arial"/>
        </w:rPr>
        <w:t xml:space="preserve"> 3.484.686 más $ 428.030 (leyes sociales); Total previsto por ejecutar: $ 8.300.000 (leyes sociales incluidas);</w:t>
      </w:r>
    </w:p>
    <w:p w:rsidR="000D0E05" w:rsidRDefault="00276EF4" w:rsidP="00276EF4">
      <w:pPr>
        <w:spacing w:line="360" w:lineRule="auto"/>
        <w:ind w:firstLine="2552"/>
        <w:jc w:val="both"/>
        <w:rPr>
          <w:rFonts w:ascii="Arial" w:hAnsi="Arial" w:cs="Arial"/>
        </w:rPr>
      </w:pPr>
      <w:r>
        <w:rPr>
          <w:rFonts w:ascii="Arial" w:hAnsi="Arial" w:cs="Arial"/>
          <w:b/>
          <w:bCs/>
        </w:rPr>
        <w:t xml:space="preserve">13) </w:t>
      </w:r>
      <w:r>
        <w:rPr>
          <w:rFonts w:ascii="Arial" w:hAnsi="Arial" w:cs="Arial"/>
        </w:rPr>
        <w:t>que las obras se realizan con cargo al rubro extrapresupuestal Fideicomiso de Obras Viales e Infraestructura del Departamento de Canelones Código “0” Proyecto Realizar convenio MTOP-IC;</w:t>
      </w:r>
    </w:p>
    <w:p w:rsidR="000D0E05" w:rsidRDefault="00276EF4" w:rsidP="00276EF4">
      <w:pPr>
        <w:spacing w:line="360" w:lineRule="auto"/>
        <w:ind w:firstLine="708"/>
        <w:jc w:val="both"/>
        <w:rPr>
          <w:rFonts w:ascii="Arial" w:hAnsi="Arial" w:cs="Arial"/>
          <w:bCs/>
          <w:lang w:val="es-MX"/>
        </w:rPr>
      </w:pPr>
      <w:r>
        <w:rPr>
          <w:rFonts w:ascii="Arial" w:hAnsi="Arial" w:cs="Arial"/>
          <w:b/>
          <w:bCs/>
        </w:rPr>
        <w:t xml:space="preserve">CONSIDERANDO: 1) </w:t>
      </w:r>
      <w:r>
        <w:rPr>
          <w:rFonts w:ascii="Arial" w:hAnsi="Arial" w:cs="Arial"/>
        </w:rPr>
        <w:t xml:space="preserve">que las presentes obras no están comprendidas en el objeto de la  </w:t>
      </w:r>
      <w:r>
        <w:rPr>
          <w:rFonts w:ascii="Arial" w:hAnsi="Arial" w:cs="Arial"/>
          <w:bCs/>
          <w:lang w:val="es-MX"/>
        </w:rPr>
        <w:t>Licitación Pública No. 19/06 y su ampliación, siendo obras nuevas previstas en el marco del Convenio de fecha 13 de mayo de 2011 suscrito por el Ministerio de Transporte y Obras Públicas y la Intendencia de Canelones  referente a la implementación del Plan de Obras “Tu Municipio” (POTM) en los Municipio correspondientes al Departamento de Canelones;</w:t>
      </w:r>
    </w:p>
    <w:p w:rsidR="000D0E05" w:rsidRDefault="00276EF4" w:rsidP="00276EF4">
      <w:pPr>
        <w:spacing w:line="360" w:lineRule="auto"/>
        <w:ind w:firstLine="2835"/>
        <w:jc w:val="both"/>
        <w:rPr>
          <w:rFonts w:ascii="Arial" w:hAnsi="Arial" w:cs="Arial"/>
          <w:bCs/>
          <w:lang w:val="es-MX"/>
        </w:rPr>
      </w:pPr>
      <w:r>
        <w:rPr>
          <w:rFonts w:ascii="Arial" w:hAnsi="Arial" w:cs="Arial"/>
          <w:b/>
          <w:lang w:val="es-MX"/>
        </w:rPr>
        <w:t xml:space="preserve"> 2) </w:t>
      </w:r>
      <w:r>
        <w:rPr>
          <w:rFonts w:ascii="Arial" w:hAnsi="Arial" w:cs="Arial"/>
          <w:bCs/>
          <w:lang w:val="es-MX"/>
        </w:rPr>
        <w:t>que en consecuencia , debió darse cumplimiento a lo dispuesto por el Artículo 33 del TOCAF,  desarrollándose el procedimiento habilitante para contratar;</w:t>
      </w:r>
    </w:p>
    <w:p w:rsidR="000D0E05" w:rsidRDefault="00276EF4" w:rsidP="00276EF4">
      <w:pPr>
        <w:spacing w:line="360" w:lineRule="auto"/>
        <w:ind w:firstLine="2835"/>
        <w:jc w:val="both"/>
        <w:rPr>
          <w:rFonts w:ascii="Arial" w:hAnsi="Arial" w:cs="Arial"/>
          <w:bCs/>
          <w:lang w:val="es-MX"/>
        </w:rPr>
      </w:pPr>
      <w:r>
        <w:rPr>
          <w:rFonts w:ascii="Arial" w:hAnsi="Arial" w:cs="Arial"/>
          <w:b/>
          <w:lang w:val="es-MX"/>
        </w:rPr>
        <w:t xml:space="preserve"> 3) </w:t>
      </w:r>
      <w:r>
        <w:rPr>
          <w:rFonts w:ascii="Arial" w:hAnsi="Arial" w:cs="Arial"/>
          <w:bCs/>
          <w:lang w:val="es-MX"/>
        </w:rPr>
        <w:t xml:space="preserve">que parte de las obras comenzaron a ser ejecutadas  contraviniendo la intervención preventiva de este Tribunal; </w:t>
      </w:r>
    </w:p>
    <w:p w:rsidR="000D0E05" w:rsidRDefault="00276EF4" w:rsidP="00276EF4">
      <w:pPr>
        <w:spacing w:line="360" w:lineRule="auto"/>
        <w:ind w:firstLine="708"/>
        <w:jc w:val="both"/>
        <w:rPr>
          <w:rFonts w:ascii="Arial" w:hAnsi="Arial" w:cs="Arial"/>
          <w:bCs/>
          <w:lang w:val="es-MX"/>
        </w:rPr>
      </w:pPr>
      <w:r>
        <w:rPr>
          <w:rFonts w:ascii="Arial" w:hAnsi="Arial" w:cs="Arial"/>
          <w:b/>
          <w:lang w:val="es-MX"/>
        </w:rPr>
        <w:t xml:space="preserve">ATENTO: </w:t>
      </w:r>
      <w:r>
        <w:rPr>
          <w:rFonts w:ascii="Arial" w:hAnsi="Arial" w:cs="Arial"/>
          <w:bCs/>
          <w:lang w:val="es-MX"/>
        </w:rPr>
        <w:t>a lo expresado y a lo dispuesto por el Artículo 211 Literal B) de la Constitución de la República;</w:t>
      </w:r>
    </w:p>
    <w:p w:rsidR="000D0E05" w:rsidRDefault="00276EF4">
      <w:pPr>
        <w:spacing w:line="360" w:lineRule="auto"/>
        <w:jc w:val="center"/>
        <w:rPr>
          <w:rFonts w:ascii="Arial" w:hAnsi="Arial" w:cs="Arial"/>
          <w:b/>
          <w:lang w:val="es-MX"/>
        </w:rPr>
      </w:pPr>
      <w:r>
        <w:rPr>
          <w:rFonts w:ascii="Arial" w:hAnsi="Arial" w:cs="Arial"/>
          <w:b/>
          <w:lang w:val="es-MX"/>
        </w:rPr>
        <w:t xml:space="preserve">EL TRIBUNAL ACUERDA: </w:t>
      </w:r>
    </w:p>
    <w:p w:rsidR="000D0E05" w:rsidRDefault="00276EF4" w:rsidP="00276EF4">
      <w:pPr>
        <w:spacing w:line="360" w:lineRule="auto"/>
        <w:jc w:val="both"/>
        <w:rPr>
          <w:rFonts w:ascii="Arial" w:hAnsi="Arial" w:cs="Arial"/>
          <w:bCs/>
          <w:lang w:val="es-MX"/>
        </w:rPr>
      </w:pPr>
      <w:r w:rsidRPr="00276EF4">
        <w:rPr>
          <w:rFonts w:ascii="Arial" w:hAnsi="Arial" w:cs="Arial"/>
          <w:b/>
          <w:bCs/>
          <w:lang w:val="es-MX"/>
        </w:rPr>
        <w:t>1)</w:t>
      </w:r>
      <w:r>
        <w:rPr>
          <w:rFonts w:ascii="Arial" w:hAnsi="Arial" w:cs="Arial"/>
          <w:bCs/>
          <w:lang w:val="es-MX"/>
        </w:rPr>
        <w:t xml:space="preserve"> Observar el gasto; y</w:t>
      </w:r>
    </w:p>
    <w:p w:rsidR="000D0E05" w:rsidRDefault="00276EF4" w:rsidP="00276EF4">
      <w:pPr>
        <w:spacing w:line="360" w:lineRule="auto"/>
        <w:jc w:val="both"/>
        <w:rPr>
          <w:rFonts w:ascii="Arial" w:hAnsi="Arial" w:cs="Arial"/>
          <w:bCs/>
          <w:lang w:val="es-MX"/>
        </w:rPr>
      </w:pPr>
      <w:r w:rsidRPr="00276EF4">
        <w:rPr>
          <w:rFonts w:ascii="Arial" w:hAnsi="Arial" w:cs="Arial"/>
          <w:b/>
          <w:bCs/>
          <w:lang w:val="es-MX"/>
        </w:rPr>
        <w:t>2)</w:t>
      </w:r>
      <w:r>
        <w:rPr>
          <w:rFonts w:ascii="Arial" w:hAnsi="Arial" w:cs="Arial"/>
          <w:bCs/>
          <w:lang w:val="es-MX"/>
        </w:rPr>
        <w:t xml:space="preserve"> Devolver las actuaciones.</w:t>
      </w:r>
    </w:p>
    <w:p w:rsidR="00276EF4" w:rsidRDefault="00276EF4" w:rsidP="00276EF4">
      <w:pPr>
        <w:spacing w:line="360" w:lineRule="auto"/>
        <w:jc w:val="both"/>
        <w:rPr>
          <w:rFonts w:ascii="Arial" w:hAnsi="Arial" w:cs="Arial"/>
          <w:bCs/>
          <w:lang w:val="es-MX"/>
        </w:rPr>
      </w:pPr>
    </w:p>
    <w:p w:rsidR="00276EF4" w:rsidRDefault="00276EF4" w:rsidP="00276EF4">
      <w:pPr>
        <w:spacing w:line="360" w:lineRule="auto"/>
        <w:jc w:val="both"/>
        <w:rPr>
          <w:rFonts w:ascii="Arial" w:hAnsi="Arial" w:cs="Arial"/>
          <w:bCs/>
          <w:lang w:val="es-MX"/>
        </w:rPr>
      </w:pPr>
    </w:p>
    <w:p w:rsidR="00276EF4" w:rsidRDefault="00276EF4" w:rsidP="00276EF4">
      <w:pPr>
        <w:spacing w:line="360" w:lineRule="auto"/>
        <w:jc w:val="both"/>
        <w:rPr>
          <w:rFonts w:ascii="Arial" w:hAnsi="Arial" w:cs="Arial"/>
          <w:bCs/>
          <w:lang w:val="es-MX"/>
        </w:rPr>
      </w:pPr>
    </w:p>
    <w:p w:rsidR="00276EF4" w:rsidRDefault="00276EF4" w:rsidP="00276EF4">
      <w:pPr>
        <w:spacing w:line="360" w:lineRule="auto"/>
        <w:jc w:val="both"/>
        <w:rPr>
          <w:rFonts w:ascii="Arial" w:hAnsi="Arial" w:cs="Arial"/>
          <w:bCs/>
          <w:lang w:val="es-MX"/>
        </w:rPr>
      </w:pPr>
      <w:r>
        <w:rPr>
          <w:rFonts w:ascii="Arial" w:hAnsi="Arial" w:cs="Arial"/>
          <w:bCs/>
          <w:lang w:val="es-MX"/>
        </w:rPr>
        <w:t>cr</w:t>
      </w:r>
    </w:p>
    <w:p w:rsidR="000D0E05" w:rsidRDefault="000D0E05">
      <w:pPr>
        <w:spacing w:line="360" w:lineRule="auto"/>
        <w:jc w:val="both"/>
        <w:rPr>
          <w:rFonts w:ascii="Arial" w:hAnsi="Arial" w:cs="Arial"/>
          <w:bCs/>
          <w:lang w:val="es-MX"/>
        </w:rPr>
      </w:pPr>
    </w:p>
    <w:p w:rsidR="000D0E05" w:rsidRDefault="000D0E05">
      <w:pPr>
        <w:spacing w:line="360" w:lineRule="auto"/>
        <w:jc w:val="both"/>
        <w:rPr>
          <w:rFonts w:ascii="Arial" w:hAnsi="Arial" w:cs="Arial"/>
          <w:bCs/>
          <w:lang w:val="es-MX"/>
        </w:rPr>
      </w:pPr>
    </w:p>
    <w:p w:rsidR="000D0E05" w:rsidRDefault="00276EF4">
      <w:pPr>
        <w:spacing w:line="360" w:lineRule="auto"/>
        <w:jc w:val="both"/>
        <w:rPr>
          <w:rFonts w:ascii="Arial" w:hAnsi="Arial" w:cs="Arial"/>
          <w:b/>
          <w:bCs/>
        </w:rPr>
      </w:pPr>
      <w:r>
        <w:rPr>
          <w:rFonts w:ascii="Arial" w:hAnsi="Arial" w:cs="Arial"/>
          <w:b/>
          <w:bCs/>
        </w:rPr>
        <w:t xml:space="preserve"> </w:t>
      </w:r>
    </w:p>
    <w:sectPr w:rsidR="000D0E05" w:rsidSect="00276EF4">
      <w:footerReference w:type="even" r:id="rId8"/>
      <w:footerReference w:type="default" r:id="rId9"/>
      <w:pgSz w:w="11907" w:h="16840"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E05" w:rsidRDefault="00276EF4">
      <w:r>
        <w:separator/>
      </w:r>
    </w:p>
  </w:endnote>
  <w:endnote w:type="continuationSeparator" w:id="0">
    <w:p w:rsidR="000D0E05" w:rsidRDefault="0027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05" w:rsidRDefault="00276EF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D0E05" w:rsidRDefault="000D0E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E05" w:rsidRDefault="00276EF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6BCA">
      <w:rPr>
        <w:rStyle w:val="Nmerodepgina"/>
        <w:noProof/>
      </w:rPr>
      <w:t>1</w:t>
    </w:r>
    <w:r>
      <w:rPr>
        <w:rStyle w:val="Nmerodepgina"/>
      </w:rPr>
      <w:fldChar w:fldCharType="end"/>
    </w:r>
  </w:p>
  <w:p w:rsidR="000D0E05" w:rsidRDefault="000D0E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E05" w:rsidRDefault="00276EF4">
      <w:r>
        <w:separator/>
      </w:r>
    </w:p>
  </w:footnote>
  <w:footnote w:type="continuationSeparator" w:id="0">
    <w:p w:rsidR="000D0E05" w:rsidRDefault="00276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491"/>
    <w:multiLevelType w:val="hybridMultilevel"/>
    <w:tmpl w:val="13F6065C"/>
    <w:lvl w:ilvl="0" w:tplc="F7DC63E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4B4975"/>
    <w:multiLevelType w:val="hybridMultilevel"/>
    <w:tmpl w:val="7BF6EEA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7284576"/>
    <w:multiLevelType w:val="hybridMultilevel"/>
    <w:tmpl w:val="F572CA9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7843A57"/>
    <w:multiLevelType w:val="hybridMultilevel"/>
    <w:tmpl w:val="49A6B75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0B77199"/>
    <w:multiLevelType w:val="hybridMultilevel"/>
    <w:tmpl w:val="5896EDC0"/>
    <w:lvl w:ilvl="0" w:tplc="82F2E8D2">
      <w:start w:val="1"/>
      <w:numFmt w:val="decimal"/>
      <w:lvlText w:val="%1-"/>
      <w:lvlJc w:val="left"/>
      <w:pPr>
        <w:tabs>
          <w:tab w:val="num" w:pos="3333"/>
        </w:tabs>
        <w:ind w:left="3333" w:hanging="1110"/>
      </w:pPr>
      <w:rPr>
        <w:rFonts w:hint="default"/>
      </w:rPr>
    </w:lvl>
    <w:lvl w:ilvl="1" w:tplc="0C0A0019" w:tentative="1">
      <w:start w:val="1"/>
      <w:numFmt w:val="lowerLetter"/>
      <w:lvlText w:val="%2."/>
      <w:lvlJc w:val="left"/>
      <w:pPr>
        <w:tabs>
          <w:tab w:val="num" w:pos="3303"/>
        </w:tabs>
        <w:ind w:left="3303" w:hanging="360"/>
      </w:pPr>
    </w:lvl>
    <w:lvl w:ilvl="2" w:tplc="0C0A001B" w:tentative="1">
      <w:start w:val="1"/>
      <w:numFmt w:val="lowerRoman"/>
      <w:lvlText w:val="%3."/>
      <w:lvlJc w:val="right"/>
      <w:pPr>
        <w:tabs>
          <w:tab w:val="num" w:pos="4023"/>
        </w:tabs>
        <w:ind w:left="4023" w:hanging="180"/>
      </w:pPr>
    </w:lvl>
    <w:lvl w:ilvl="3" w:tplc="0C0A000F" w:tentative="1">
      <w:start w:val="1"/>
      <w:numFmt w:val="decimal"/>
      <w:lvlText w:val="%4."/>
      <w:lvlJc w:val="left"/>
      <w:pPr>
        <w:tabs>
          <w:tab w:val="num" w:pos="4743"/>
        </w:tabs>
        <w:ind w:left="4743" w:hanging="360"/>
      </w:pPr>
    </w:lvl>
    <w:lvl w:ilvl="4" w:tplc="0C0A0019" w:tentative="1">
      <w:start w:val="1"/>
      <w:numFmt w:val="lowerLetter"/>
      <w:lvlText w:val="%5."/>
      <w:lvlJc w:val="left"/>
      <w:pPr>
        <w:tabs>
          <w:tab w:val="num" w:pos="5463"/>
        </w:tabs>
        <w:ind w:left="5463" w:hanging="360"/>
      </w:pPr>
    </w:lvl>
    <w:lvl w:ilvl="5" w:tplc="0C0A001B" w:tentative="1">
      <w:start w:val="1"/>
      <w:numFmt w:val="lowerRoman"/>
      <w:lvlText w:val="%6."/>
      <w:lvlJc w:val="right"/>
      <w:pPr>
        <w:tabs>
          <w:tab w:val="num" w:pos="6183"/>
        </w:tabs>
        <w:ind w:left="6183" w:hanging="180"/>
      </w:pPr>
    </w:lvl>
    <w:lvl w:ilvl="6" w:tplc="0C0A000F" w:tentative="1">
      <w:start w:val="1"/>
      <w:numFmt w:val="decimal"/>
      <w:lvlText w:val="%7."/>
      <w:lvlJc w:val="left"/>
      <w:pPr>
        <w:tabs>
          <w:tab w:val="num" w:pos="6903"/>
        </w:tabs>
        <w:ind w:left="6903" w:hanging="360"/>
      </w:pPr>
    </w:lvl>
    <w:lvl w:ilvl="7" w:tplc="0C0A0019" w:tentative="1">
      <w:start w:val="1"/>
      <w:numFmt w:val="lowerLetter"/>
      <w:lvlText w:val="%8."/>
      <w:lvlJc w:val="left"/>
      <w:pPr>
        <w:tabs>
          <w:tab w:val="num" w:pos="7623"/>
        </w:tabs>
        <w:ind w:left="7623" w:hanging="360"/>
      </w:pPr>
    </w:lvl>
    <w:lvl w:ilvl="8" w:tplc="0C0A001B" w:tentative="1">
      <w:start w:val="1"/>
      <w:numFmt w:val="lowerRoman"/>
      <w:lvlText w:val="%9."/>
      <w:lvlJc w:val="right"/>
      <w:pPr>
        <w:tabs>
          <w:tab w:val="num" w:pos="8343"/>
        </w:tabs>
        <w:ind w:left="8343" w:hanging="180"/>
      </w:pPr>
    </w:lvl>
  </w:abstractNum>
  <w:abstractNum w:abstractNumId="5">
    <w:nsid w:val="5A455700"/>
    <w:multiLevelType w:val="hybridMultilevel"/>
    <w:tmpl w:val="2AC0679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12C0656"/>
    <w:multiLevelType w:val="hybridMultilevel"/>
    <w:tmpl w:val="56DCA01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DC9"/>
    <w:rsid w:val="000D0E05"/>
    <w:rsid w:val="00276EF4"/>
    <w:rsid w:val="00850DC9"/>
    <w:rsid w:val="00966BC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both"/>
      <w:outlineLvl w:val="0"/>
    </w:pPr>
    <w:rPr>
      <w:rFonts w:ascii="Arial" w:hAnsi="Arial" w:cs="Arial"/>
      <w:b/>
      <w:szCs w:val="20"/>
      <w:lang w:val="es-MX"/>
    </w:rPr>
  </w:style>
  <w:style w:type="paragraph" w:styleId="Ttulo2">
    <w:name w:val="heading 2"/>
    <w:basedOn w:val="Normal"/>
    <w:next w:val="Normal"/>
    <w:qFormat/>
    <w:pPr>
      <w:keepNext/>
      <w:spacing w:line="360" w:lineRule="auto"/>
      <w:jc w:val="center"/>
      <w:outlineLvl w:val="1"/>
    </w:pPr>
    <w:rPr>
      <w:rFonts w:ascii="Arial" w:hAnsi="Arial" w:cs="Arial"/>
      <w:b/>
      <w:lang w:val="es-MX"/>
    </w:rPr>
  </w:style>
  <w:style w:type="paragraph" w:styleId="Ttulo3">
    <w:name w:val="heading 3"/>
    <w:basedOn w:val="Normal"/>
    <w:next w:val="Normal"/>
    <w:qFormat/>
    <w:pPr>
      <w:keepNext/>
      <w:spacing w:line="360" w:lineRule="auto"/>
      <w:ind w:firstLine="708"/>
      <w:jc w:val="center"/>
      <w:outlineLvl w:val="2"/>
    </w:pPr>
    <w:rPr>
      <w:rFonts w:ascii="Arial" w:hAnsi="Arial"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rPr>
      <w:rFonts w:ascii="Arial" w:hAnsi="Arial"/>
      <w:szCs w:val="20"/>
    </w:r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ascii="Arial" w:hAnsi="Arial" w:cs="Arial"/>
      <w:b/>
      <w:szCs w:val="20"/>
      <w:u w:val="single"/>
      <w:lang w:val="es-MX"/>
    </w:rPr>
  </w:style>
  <w:style w:type="paragraph" w:styleId="Textoindependiente">
    <w:name w:val="Body Text"/>
    <w:basedOn w:val="Normal"/>
    <w:semiHidden/>
    <w:pPr>
      <w:spacing w:line="360" w:lineRule="auto"/>
      <w:jc w:val="both"/>
    </w:pPr>
    <w:rPr>
      <w:rFonts w:ascii="Arial" w:hAnsi="Arial" w:cs="Arial"/>
      <w:lang w:val="es-MX"/>
    </w:rPr>
  </w:style>
  <w:style w:type="paragraph" w:styleId="Sangradetextonormal">
    <w:name w:val="Body Text Indent"/>
    <w:basedOn w:val="Normal"/>
    <w:semiHidden/>
    <w:pPr>
      <w:spacing w:line="360" w:lineRule="auto"/>
      <w:ind w:firstLine="708"/>
      <w:jc w:val="both"/>
    </w:pPr>
    <w:rPr>
      <w:rFonts w:ascii="Arial" w:hAnsi="Arial" w:cs="Arial"/>
    </w:rPr>
  </w:style>
  <w:style w:type="paragraph" w:styleId="Textoindependiente2">
    <w:name w:val="Body Text 2"/>
    <w:basedOn w:val="Normal"/>
    <w:semiHidden/>
    <w:unhideWhenUsed/>
    <w:pPr>
      <w:spacing w:after="120" w:line="480" w:lineRule="auto"/>
    </w:pPr>
  </w:style>
  <w:style w:type="character" w:customStyle="1" w:styleId="Textoindependiente2Car">
    <w:name w:val="Texto independiente 2 Car"/>
    <w:semiHidden/>
    <w:rPr>
      <w:sz w:val="24"/>
      <w:szCs w:val="24"/>
    </w:rPr>
  </w:style>
  <w:style w:type="paragraph" w:styleId="Subttulo">
    <w:name w:val="Subtitle"/>
    <w:basedOn w:val="Normal"/>
    <w:next w:val="Normal"/>
    <w:qFormat/>
    <w:pPr>
      <w:spacing w:after="60"/>
      <w:jc w:val="center"/>
      <w:outlineLvl w:val="1"/>
    </w:pPr>
    <w:rPr>
      <w:rFonts w:ascii="Cambria" w:hAnsi="Cambria"/>
    </w:rPr>
  </w:style>
  <w:style w:type="character" w:customStyle="1" w:styleId="SubttuloCar">
    <w:name w:val="Subtítulo Car"/>
    <w:rPr>
      <w:rFonts w:ascii="Cambria" w:eastAsia="Times New Roman" w:hAnsi="Cambria" w:cs="Times New Roman"/>
      <w:sz w:val="24"/>
      <w:szCs w:val="24"/>
    </w:rPr>
  </w:style>
  <w:style w:type="character" w:styleId="Hipervnculo">
    <w:name w:val="Hyperlink"/>
    <w:semiHidden/>
    <w:unhideWhenUsed/>
    <w:rPr>
      <w:color w:val="0000FF"/>
      <w:u w:val="single"/>
    </w:rPr>
  </w:style>
  <w:style w:type="paragraph" w:styleId="Textodeglobo">
    <w:name w:val="Balloon Text"/>
    <w:basedOn w:val="Normal"/>
    <w:link w:val="TextodegloboCar"/>
    <w:uiPriority w:val="99"/>
    <w:semiHidden/>
    <w:unhideWhenUsed/>
    <w:rsid w:val="00966BCA"/>
    <w:rPr>
      <w:rFonts w:ascii="Tahoma" w:hAnsi="Tahoma" w:cs="Tahoma"/>
      <w:sz w:val="16"/>
      <w:szCs w:val="16"/>
    </w:rPr>
  </w:style>
  <w:style w:type="character" w:customStyle="1" w:styleId="TextodegloboCar">
    <w:name w:val="Texto de globo Car"/>
    <w:basedOn w:val="Fuentedeprrafopredeter"/>
    <w:link w:val="Textodeglobo"/>
    <w:uiPriority w:val="99"/>
    <w:semiHidden/>
    <w:rsid w:val="00966BCA"/>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3763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LICITACIÓN PUBLICA</vt:lpstr>
    </vt:vector>
  </TitlesOfParts>
  <Company>Tribunal de Cuentas</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PUBLICA</dc:title>
  <dc:subject/>
  <dc:creator>Adm.Redes</dc:creator>
  <cp:keywords/>
  <cp:lastModifiedBy>Miriam Cristina Rivero</cp:lastModifiedBy>
  <cp:revision>2</cp:revision>
  <cp:lastPrinted>2013-11-07T17:42:00Z</cp:lastPrinted>
  <dcterms:created xsi:type="dcterms:W3CDTF">2013-11-07T17:42:00Z</dcterms:created>
  <dcterms:modified xsi:type="dcterms:W3CDTF">2013-11-07T17:42:00Z</dcterms:modified>
</cp:coreProperties>
</file>