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04" w:rsidRDefault="0074770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747704" w:rsidRDefault="0074770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47704" w:rsidRDefault="0074770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47704" w:rsidRDefault="0074770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47704" w:rsidRDefault="0074770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NOVIEMBRE DE  2013</w:t>
      </w:r>
    </w:p>
    <w:p w:rsidR="00747704" w:rsidRDefault="0074770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47704" w:rsidRPr="00747704" w:rsidRDefault="0074770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747704">
        <w:rPr>
          <w:rFonts w:ascii="Helvetica" w:hAnsi="Helvetica"/>
          <w:b/>
          <w:lang w:val="es-UY"/>
        </w:rPr>
        <w:t>(E. E. Nº 2013</w:t>
      </w:r>
      <w:r w:rsidR="00B57B3F">
        <w:rPr>
          <w:rFonts w:ascii="Helvetica" w:hAnsi="Helvetica"/>
          <w:b/>
          <w:lang w:val="es-UY"/>
        </w:rPr>
        <w:t>-</w:t>
      </w:r>
      <w:r>
        <w:rPr>
          <w:rFonts w:ascii="Helvetica" w:hAnsi="Helvetica"/>
          <w:b/>
          <w:lang w:val="es-UY"/>
        </w:rPr>
        <w:t>17</w:t>
      </w:r>
      <w:r w:rsidR="00B57B3F">
        <w:rPr>
          <w:rFonts w:ascii="Helvetica" w:hAnsi="Helvetica"/>
          <w:b/>
          <w:lang w:val="es-UY"/>
        </w:rPr>
        <w:t>-</w:t>
      </w:r>
      <w:r>
        <w:rPr>
          <w:rFonts w:ascii="Helvetica" w:hAnsi="Helvetica"/>
          <w:b/>
          <w:lang w:val="es-UY"/>
        </w:rPr>
        <w:t>1</w:t>
      </w:r>
      <w:r w:rsidR="00B57B3F">
        <w:rPr>
          <w:rFonts w:ascii="Helvetica" w:hAnsi="Helvetica"/>
          <w:b/>
          <w:lang w:val="es-UY"/>
        </w:rPr>
        <w:t>-</w:t>
      </w:r>
      <w:r>
        <w:rPr>
          <w:rFonts w:ascii="Helvetica" w:hAnsi="Helvetica"/>
          <w:b/>
          <w:lang w:val="es-UY"/>
        </w:rPr>
        <w:t>0003275</w:t>
      </w:r>
      <w:r w:rsidRPr="00747704">
        <w:rPr>
          <w:rFonts w:ascii="Helvetica" w:hAnsi="Helvetica"/>
          <w:b/>
          <w:lang w:val="es-UY"/>
        </w:rPr>
        <w:t xml:space="preserve">, </w:t>
      </w:r>
      <w:proofErr w:type="spellStart"/>
      <w:r w:rsidRPr="00747704">
        <w:rPr>
          <w:rFonts w:ascii="Helvetica" w:hAnsi="Helvetica"/>
          <w:b/>
          <w:lang w:val="es-UY"/>
        </w:rPr>
        <w:t>Ent</w:t>
      </w:r>
      <w:proofErr w:type="spellEnd"/>
      <w:r w:rsidRPr="00747704">
        <w:rPr>
          <w:rFonts w:ascii="Helvetica" w:hAnsi="Helvetica"/>
          <w:b/>
          <w:lang w:val="es-UY"/>
        </w:rPr>
        <w:t xml:space="preserve">. N° </w:t>
      </w:r>
      <w:r w:rsidR="00FA607D">
        <w:rPr>
          <w:rFonts w:ascii="Helvetica" w:hAnsi="Helvetica"/>
          <w:b/>
          <w:lang w:val="es-UY"/>
        </w:rPr>
        <w:t>5978/13</w:t>
      </w:r>
      <w:r>
        <w:rPr>
          <w:rFonts w:ascii="Helvetica" w:hAnsi="Helvetica"/>
          <w:b/>
          <w:lang w:val="es-UY"/>
        </w:rPr>
        <w:t>)</w:t>
      </w:r>
    </w:p>
    <w:p w:rsidR="00747704" w:rsidRPr="00747704" w:rsidRDefault="00747704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747704" w:rsidRPr="00747704" w:rsidRDefault="00747704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E5776C" w:rsidRDefault="006551DD" w:rsidP="00747704">
      <w:pPr>
        <w:spacing w:line="39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 xml:space="preserve">VISTO: </w:t>
      </w:r>
      <w:r>
        <w:rPr>
          <w:rFonts w:ascii="Arial" w:hAnsi="Arial" w:cs="Arial"/>
          <w:lang w:val="es-MX"/>
        </w:rPr>
        <w:t>el Ofici</w:t>
      </w:r>
      <w:r w:rsidR="00731523">
        <w:rPr>
          <w:rFonts w:ascii="Arial" w:hAnsi="Arial" w:cs="Arial"/>
          <w:lang w:val="es-MX"/>
        </w:rPr>
        <w:t>o Nº</w:t>
      </w:r>
      <w:r w:rsidR="004D27D5">
        <w:rPr>
          <w:rFonts w:ascii="Arial" w:hAnsi="Arial" w:cs="Arial"/>
          <w:lang w:val="es-MX"/>
        </w:rPr>
        <w:t xml:space="preserve"> 256</w:t>
      </w:r>
      <w:r w:rsidR="00731523">
        <w:rPr>
          <w:rFonts w:ascii="Arial" w:hAnsi="Arial" w:cs="Arial"/>
          <w:lang w:val="es-MX"/>
        </w:rPr>
        <w:t xml:space="preserve">/2013 de fecha </w:t>
      </w:r>
      <w:r w:rsidR="00AD4C19">
        <w:rPr>
          <w:rFonts w:ascii="Arial" w:hAnsi="Arial" w:cs="Arial"/>
          <w:lang w:val="es-MX"/>
        </w:rPr>
        <w:t xml:space="preserve">21.10.13 </w:t>
      </w:r>
      <w:r w:rsidR="00731523">
        <w:rPr>
          <w:rFonts w:ascii="Arial" w:hAnsi="Arial" w:cs="Arial"/>
          <w:lang w:val="es-MX"/>
        </w:rPr>
        <w:t xml:space="preserve">con las </w:t>
      </w:r>
      <w:r>
        <w:rPr>
          <w:rFonts w:ascii="Arial" w:hAnsi="Arial" w:cs="Arial"/>
          <w:lang w:val="es-MX"/>
        </w:rPr>
        <w:t xml:space="preserve">actuaciones </w:t>
      </w:r>
      <w:r w:rsidR="00731523">
        <w:rPr>
          <w:rFonts w:ascii="Arial" w:hAnsi="Arial" w:cs="Arial"/>
          <w:lang w:val="es-MX"/>
        </w:rPr>
        <w:t>respectivas</w:t>
      </w:r>
      <w:r>
        <w:rPr>
          <w:rFonts w:ascii="Arial" w:hAnsi="Arial" w:cs="Arial"/>
          <w:lang w:val="es-MX"/>
        </w:rPr>
        <w:t xml:space="preserve"> </w:t>
      </w:r>
      <w:r w:rsidR="00E5776C">
        <w:rPr>
          <w:rFonts w:ascii="Arial" w:hAnsi="Arial" w:cs="Arial"/>
          <w:lang w:val="es-MX"/>
        </w:rPr>
        <w:t xml:space="preserve">remitidas por </w:t>
      </w:r>
      <w:r w:rsidR="00B57B3F">
        <w:rPr>
          <w:rFonts w:ascii="Arial" w:hAnsi="Arial" w:cs="Arial"/>
          <w:lang w:val="es-MX"/>
        </w:rPr>
        <w:t xml:space="preserve">la </w:t>
      </w:r>
      <w:r w:rsidR="001426A8">
        <w:rPr>
          <w:rFonts w:ascii="Arial" w:hAnsi="Arial" w:cs="Arial"/>
          <w:lang w:val="es-MX"/>
        </w:rPr>
        <w:t>Intendencia de Tacuarembó, rela</w:t>
      </w:r>
      <w:r>
        <w:rPr>
          <w:rFonts w:ascii="Arial" w:hAnsi="Arial" w:cs="Arial"/>
          <w:lang w:val="es-MX"/>
        </w:rPr>
        <w:t xml:space="preserve">tivas a </w:t>
      </w:r>
      <w:r w:rsidR="001426A8">
        <w:rPr>
          <w:rFonts w:ascii="Arial" w:hAnsi="Arial" w:cs="Arial"/>
          <w:lang w:val="es-MX"/>
        </w:rPr>
        <w:t xml:space="preserve">la ampliación </w:t>
      </w:r>
      <w:r w:rsidR="00AD4C19">
        <w:rPr>
          <w:rFonts w:ascii="Arial" w:hAnsi="Arial" w:cs="Arial"/>
          <w:lang w:val="es-MX"/>
        </w:rPr>
        <w:t>de la Licitación Pública Nº 05</w:t>
      </w:r>
      <w:r w:rsidR="001426A8">
        <w:rPr>
          <w:rFonts w:ascii="Arial" w:hAnsi="Arial" w:cs="Arial"/>
          <w:lang w:val="es-MX"/>
        </w:rPr>
        <w:t xml:space="preserve">/2012, para la adquisición de hasta </w:t>
      </w:r>
      <w:r w:rsidR="00AD4C19">
        <w:rPr>
          <w:rFonts w:ascii="Arial" w:hAnsi="Arial" w:cs="Arial"/>
          <w:lang w:val="es-MX"/>
        </w:rPr>
        <w:t>cuatro compactadores vibratorios autopropulsados, 2 rodillos pata de cabra (accesorio) y un compactador vibratorio sobre neumáticos</w:t>
      </w:r>
      <w:r w:rsidR="001426A8">
        <w:rPr>
          <w:rFonts w:ascii="Arial" w:hAnsi="Arial" w:cs="Arial"/>
          <w:lang w:val="es-MX"/>
        </w:rPr>
        <w:t>;</w:t>
      </w:r>
    </w:p>
    <w:p w:rsidR="00E55091" w:rsidRDefault="00E5776C" w:rsidP="00747704">
      <w:pPr>
        <w:pStyle w:val="Textoindependiente2"/>
        <w:spacing w:line="39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RESULTANDO</w:t>
      </w:r>
      <w:r w:rsidRPr="001C6FA0">
        <w:rPr>
          <w:rFonts w:ascii="Arial" w:hAnsi="Arial" w:cs="Arial"/>
        </w:rPr>
        <w:t xml:space="preserve">: </w:t>
      </w:r>
      <w:r w:rsidRPr="001C6FA0">
        <w:rPr>
          <w:rFonts w:ascii="Arial" w:hAnsi="Arial" w:cs="Arial"/>
          <w:b/>
        </w:rPr>
        <w:t>1)</w:t>
      </w:r>
      <w:r w:rsidRPr="001C6FA0">
        <w:rPr>
          <w:rFonts w:ascii="Arial" w:hAnsi="Arial" w:cs="Arial"/>
          <w:lang w:val="es-MX"/>
        </w:rPr>
        <w:t xml:space="preserve"> </w:t>
      </w:r>
      <w:r w:rsidR="00464884" w:rsidRPr="001C6FA0">
        <w:rPr>
          <w:rFonts w:ascii="Arial" w:hAnsi="Arial" w:cs="Arial"/>
          <w:bCs/>
        </w:rPr>
        <w:t xml:space="preserve">que por Resolución del Intendente Nº 0562/2013 de fecha 23.05.13, </w:t>
      </w:r>
      <w:r w:rsidR="001C6FA0" w:rsidRPr="001C6FA0">
        <w:rPr>
          <w:rFonts w:ascii="Arial" w:hAnsi="Arial" w:cs="Arial"/>
          <w:bCs/>
        </w:rPr>
        <w:t xml:space="preserve">se dispone </w:t>
      </w:r>
      <w:r w:rsidR="00464884" w:rsidRPr="001C6FA0">
        <w:rPr>
          <w:rFonts w:ascii="Arial" w:hAnsi="Arial" w:cs="Arial"/>
          <w:bCs/>
        </w:rPr>
        <w:t xml:space="preserve">adjudicar el </w:t>
      </w:r>
      <w:r w:rsidR="00B57B3F">
        <w:rPr>
          <w:rFonts w:ascii="Arial" w:hAnsi="Arial" w:cs="Arial"/>
          <w:bCs/>
        </w:rPr>
        <w:t>L</w:t>
      </w:r>
      <w:r w:rsidR="00464884" w:rsidRPr="001C6FA0">
        <w:rPr>
          <w:rFonts w:ascii="Arial" w:hAnsi="Arial" w:cs="Arial"/>
          <w:bCs/>
        </w:rPr>
        <w:t>lamado de referencia</w:t>
      </w:r>
      <w:r w:rsidR="001C6FA0" w:rsidRPr="001C6FA0">
        <w:rPr>
          <w:rFonts w:ascii="Arial" w:hAnsi="Arial" w:cs="Arial"/>
          <w:bCs/>
        </w:rPr>
        <w:t xml:space="preserve"> a las empresas </w:t>
      </w:r>
      <w:proofErr w:type="spellStart"/>
      <w:r w:rsidR="001C6FA0" w:rsidRPr="001C6FA0">
        <w:rPr>
          <w:rFonts w:ascii="Arial" w:hAnsi="Arial" w:cs="Arial"/>
        </w:rPr>
        <w:t>Finning</w:t>
      </w:r>
      <w:proofErr w:type="spellEnd"/>
      <w:r w:rsidR="001C6FA0" w:rsidRPr="001C6FA0">
        <w:rPr>
          <w:rFonts w:ascii="Arial" w:hAnsi="Arial" w:cs="Arial"/>
        </w:rPr>
        <w:t xml:space="preserve"> Uruguay S.A. por un total de U$S 20.000 y  XCMG Uruguay S.A. por un total de U$S 81.623;</w:t>
      </w:r>
    </w:p>
    <w:p w:rsidR="001E29F1" w:rsidRDefault="00E5776C" w:rsidP="00747704">
      <w:pPr>
        <w:pStyle w:val="Textoindependiente2"/>
        <w:tabs>
          <w:tab w:val="left" w:pos="1843"/>
        </w:tabs>
        <w:spacing w:line="396" w:lineRule="auto"/>
        <w:ind w:firstLine="2552"/>
        <w:jc w:val="both"/>
        <w:rPr>
          <w:rFonts w:ascii="Arial" w:hAnsi="Arial" w:cs="Arial"/>
        </w:rPr>
      </w:pPr>
      <w:r w:rsidRPr="001426A8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 xml:space="preserve"> este Tribunal, en </w:t>
      </w:r>
      <w:r w:rsidR="0074770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esión de fecha </w:t>
      </w:r>
      <w:r w:rsidR="00DD030F">
        <w:rPr>
          <w:rFonts w:ascii="Arial" w:hAnsi="Arial" w:cs="Arial"/>
        </w:rPr>
        <w:t>20.06.13</w:t>
      </w:r>
      <w:r>
        <w:rPr>
          <w:rFonts w:ascii="Arial" w:hAnsi="Arial" w:cs="Arial"/>
        </w:rPr>
        <w:t xml:space="preserve"> dispuso</w:t>
      </w:r>
      <w:r w:rsidR="00666D00">
        <w:rPr>
          <w:rFonts w:ascii="Arial" w:hAnsi="Arial" w:cs="Arial"/>
        </w:rPr>
        <w:t xml:space="preserve"> observar el gasto en virtud </w:t>
      </w:r>
      <w:r w:rsidR="008738D4">
        <w:rPr>
          <w:rFonts w:ascii="Arial" w:hAnsi="Arial" w:cs="Arial"/>
        </w:rPr>
        <w:t xml:space="preserve">de: </w:t>
      </w:r>
      <w:r w:rsidR="008738D4" w:rsidRPr="00B57B3F">
        <w:rPr>
          <w:rFonts w:ascii="Arial" w:hAnsi="Arial" w:cs="Arial"/>
          <w:b/>
        </w:rPr>
        <w:t>a</w:t>
      </w:r>
      <w:r w:rsidR="008738D4">
        <w:rPr>
          <w:rFonts w:ascii="Arial" w:hAnsi="Arial" w:cs="Arial"/>
        </w:rPr>
        <w:t xml:space="preserve">) haber exigido en el Pliego Particular de Condiciones la presentación de documentación conjuntamente con la oferta </w:t>
      </w:r>
      <w:r w:rsidR="005E2B07">
        <w:rPr>
          <w:rFonts w:ascii="Arial" w:hAnsi="Arial" w:cs="Arial"/>
        </w:rPr>
        <w:t xml:space="preserve">que contraviene el </w:t>
      </w:r>
      <w:r w:rsidR="00B57B3F">
        <w:rPr>
          <w:rFonts w:ascii="Arial" w:hAnsi="Arial" w:cs="Arial"/>
        </w:rPr>
        <w:t>A</w:t>
      </w:r>
      <w:r w:rsidR="005E2B07">
        <w:rPr>
          <w:rFonts w:ascii="Arial" w:hAnsi="Arial" w:cs="Arial"/>
        </w:rPr>
        <w:t xml:space="preserve">rtículo 48 del T.O.C.A.F.; </w:t>
      </w:r>
      <w:r w:rsidR="005E2B07" w:rsidRPr="00B57B3F">
        <w:rPr>
          <w:rFonts w:ascii="Arial" w:hAnsi="Arial" w:cs="Arial"/>
          <w:b/>
        </w:rPr>
        <w:t>b</w:t>
      </w:r>
      <w:r w:rsidR="005E2B07">
        <w:rPr>
          <w:rFonts w:ascii="Arial" w:hAnsi="Arial" w:cs="Arial"/>
        </w:rPr>
        <w:t xml:space="preserve">) </w:t>
      </w:r>
      <w:r w:rsidR="001949B4">
        <w:rPr>
          <w:rFonts w:ascii="Arial" w:hAnsi="Arial" w:cs="Arial"/>
        </w:rPr>
        <w:t>no haber establecido criterios de ponderación a los diversos factores estipulados en el Pliego</w:t>
      </w:r>
      <w:r w:rsidR="00B57B3F">
        <w:rPr>
          <w:rFonts w:ascii="Arial" w:hAnsi="Arial" w:cs="Arial"/>
        </w:rPr>
        <w:t>;</w:t>
      </w:r>
      <w:r w:rsidR="001949B4">
        <w:rPr>
          <w:rFonts w:ascii="Arial" w:hAnsi="Arial" w:cs="Arial"/>
        </w:rPr>
        <w:t xml:space="preserve"> y </w:t>
      </w:r>
      <w:r w:rsidR="001949B4" w:rsidRPr="00B57B3F">
        <w:rPr>
          <w:rFonts w:ascii="Arial" w:hAnsi="Arial" w:cs="Arial"/>
          <w:b/>
        </w:rPr>
        <w:t>c</w:t>
      </w:r>
      <w:r w:rsidR="001949B4">
        <w:rPr>
          <w:rFonts w:ascii="Arial" w:hAnsi="Arial" w:cs="Arial"/>
        </w:rPr>
        <w:t>) haber comprometido un gasto sin disponibilidad suficiente en el rubro d</w:t>
      </w:r>
      <w:r w:rsidR="000870F7">
        <w:rPr>
          <w:rFonts w:ascii="Arial" w:hAnsi="Arial" w:cs="Arial"/>
        </w:rPr>
        <w:t>e imp</w:t>
      </w:r>
      <w:r w:rsidR="001949B4">
        <w:rPr>
          <w:rFonts w:ascii="Arial" w:hAnsi="Arial" w:cs="Arial"/>
        </w:rPr>
        <w:t>u</w:t>
      </w:r>
      <w:r w:rsidR="000870F7">
        <w:rPr>
          <w:rFonts w:ascii="Arial" w:hAnsi="Arial" w:cs="Arial"/>
        </w:rPr>
        <w:t>t</w:t>
      </w:r>
      <w:r w:rsidR="001949B4">
        <w:rPr>
          <w:rFonts w:ascii="Arial" w:hAnsi="Arial" w:cs="Arial"/>
        </w:rPr>
        <w:t>ación;</w:t>
      </w:r>
    </w:p>
    <w:p w:rsidR="00285DD4" w:rsidRPr="00285DD4" w:rsidRDefault="00E5776C" w:rsidP="00747704">
      <w:pPr>
        <w:pStyle w:val="Textoindependiente2"/>
        <w:tabs>
          <w:tab w:val="left" w:pos="1843"/>
        </w:tabs>
        <w:spacing w:line="396" w:lineRule="auto"/>
        <w:ind w:firstLine="2552"/>
        <w:jc w:val="both"/>
        <w:rPr>
          <w:rFonts w:ascii="Arial" w:hAnsi="Arial"/>
          <w:lang w:val="es-MX"/>
        </w:rPr>
      </w:pPr>
      <w:r w:rsidRPr="001426A8">
        <w:rPr>
          <w:rFonts w:ascii="Arial" w:hAnsi="Arial"/>
          <w:b/>
          <w:lang w:val="es-MX"/>
        </w:rPr>
        <w:t>3)</w:t>
      </w:r>
      <w:r w:rsidR="00DF79D1">
        <w:rPr>
          <w:rFonts w:ascii="Arial" w:hAnsi="Arial"/>
          <w:b/>
          <w:lang w:val="es-MX"/>
        </w:rPr>
        <w:t xml:space="preserve"> </w:t>
      </w:r>
      <w:r w:rsidR="00285DD4">
        <w:rPr>
          <w:rFonts w:ascii="Arial" w:hAnsi="Arial"/>
          <w:lang w:val="es-MX"/>
        </w:rPr>
        <w:t>que por Resolución del Intendente Nº 0760/2013 de fecha 27.06.13</w:t>
      </w:r>
      <w:r w:rsidR="004A6086">
        <w:rPr>
          <w:rFonts w:ascii="Arial" w:hAnsi="Arial"/>
          <w:lang w:val="es-MX"/>
        </w:rPr>
        <w:t>, se dispuso reiterar</w:t>
      </w:r>
      <w:r w:rsidR="008503BA">
        <w:rPr>
          <w:rFonts w:ascii="Arial" w:hAnsi="Arial"/>
          <w:lang w:val="es-MX"/>
        </w:rPr>
        <w:t xml:space="preserve"> el gasto;</w:t>
      </w:r>
    </w:p>
    <w:p w:rsidR="00591729" w:rsidRDefault="00285DD4" w:rsidP="00747704">
      <w:pPr>
        <w:pStyle w:val="Textoindependiente2"/>
        <w:tabs>
          <w:tab w:val="left" w:pos="1843"/>
        </w:tabs>
        <w:spacing w:line="396" w:lineRule="auto"/>
        <w:ind w:firstLine="2552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4) </w:t>
      </w:r>
      <w:r w:rsidR="00E86F02">
        <w:rPr>
          <w:rFonts w:ascii="Arial" w:hAnsi="Arial"/>
          <w:lang w:val="es-MX"/>
        </w:rPr>
        <w:t>q</w:t>
      </w:r>
      <w:r w:rsidR="00591729">
        <w:rPr>
          <w:rFonts w:ascii="Arial" w:hAnsi="Arial"/>
          <w:lang w:val="es-MX"/>
        </w:rPr>
        <w:t xml:space="preserve">ue contando con la conformidad de </w:t>
      </w:r>
      <w:r w:rsidR="00E55091">
        <w:rPr>
          <w:rFonts w:ascii="Arial" w:hAnsi="Arial"/>
          <w:lang w:val="es-MX"/>
        </w:rPr>
        <w:t xml:space="preserve">la empresa adjudicataria </w:t>
      </w:r>
      <w:r w:rsidR="001E29F1">
        <w:rPr>
          <w:rFonts w:ascii="Arial" w:hAnsi="Arial"/>
          <w:lang w:val="es-MX"/>
        </w:rPr>
        <w:t xml:space="preserve">XCMG </w:t>
      </w:r>
      <w:r w:rsidR="00591729">
        <w:rPr>
          <w:rFonts w:ascii="Arial" w:hAnsi="Arial"/>
          <w:lang w:val="es-MX"/>
        </w:rPr>
        <w:t xml:space="preserve">S.A. expresada en nota de fecha </w:t>
      </w:r>
      <w:r w:rsidR="001E29F1">
        <w:rPr>
          <w:rFonts w:ascii="Arial" w:hAnsi="Arial"/>
          <w:lang w:val="es-MX"/>
        </w:rPr>
        <w:t>30.07.13</w:t>
      </w:r>
      <w:r w:rsidR="00F61792">
        <w:rPr>
          <w:rFonts w:ascii="Arial" w:hAnsi="Arial"/>
          <w:lang w:val="es-MX"/>
        </w:rPr>
        <w:t>, el Intendente dispuso</w:t>
      </w:r>
      <w:r w:rsidR="00591729">
        <w:rPr>
          <w:rFonts w:ascii="Arial" w:hAnsi="Arial"/>
          <w:lang w:val="es-MX"/>
        </w:rPr>
        <w:t xml:space="preserve"> por Resolución Nº </w:t>
      </w:r>
      <w:r w:rsidR="001E29F1">
        <w:rPr>
          <w:rFonts w:ascii="Arial" w:hAnsi="Arial"/>
          <w:lang w:val="es-MX"/>
        </w:rPr>
        <w:t>964/2013</w:t>
      </w:r>
      <w:r w:rsidR="00591729">
        <w:rPr>
          <w:rFonts w:ascii="Arial" w:hAnsi="Arial"/>
          <w:lang w:val="es-MX"/>
        </w:rPr>
        <w:t xml:space="preserve"> de fecha </w:t>
      </w:r>
      <w:r w:rsidR="001E29F1">
        <w:rPr>
          <w:rFonts w:ascii="Arial" w:hAnsi="Arial"/>
          <w:lang w:val="es-MX"/>
        </w:rPr>
        <w:t>08.08.13</w:t>
      </w:r>
      <w:r w:rsidR="00C066A8">
        <w:rPr>
          <w:rFonts w:ascii="Arial" w:hAnsi="Arial"/>
          <w:lang w:val="es-MX"/>
        </w:rPr>
        <w:t xml:space="preserve">, aumentar </w:t>
      </w:r>
      <w:r w:rsidR="001E29F1">
        <w:rPr>
          <w:rFonts w:ascii="Arial" w:hAnsi="Arial"/>
          <w:lang w:val="es-MX"/>
        </w:rPr>
        <w:t>la</w:t>
      </w:r>
      <w:r w:rsidR="00C066A8">
        <w:rPr>
          <w:rFonts w:ascii="Arial" w:hAnsi="Arial"/>
          <w:lang w:val="es-MX"/>
        </w:rPr>
        <w:t xml:space="preserve"> Licitación </w:t>
      </w:r>
      <w:r w:rsidR="00C066A8">
        <w:rPr>
          <w:rFonts w:ascii="Arial" w:hAnsi="Arial"/>
          <w:lang w:val="es-MX"/>
        </w:rPr>
        <w:lastRenderedPageBreak/>
        <w:t>Púb</w:t>
      </w:r>
      <w:r w:rsidR="00A30235">
        <w:rPr>
          <w:rFonts w:ascii="Arial" w:hAnsi="Arial"/>
          <w:lang w:val="es-MX"/>
        </w:rPr>
        <w:t>lica Nº</w:t>
      </w:r>
      <w:r w:rsidR="001E29F1">
        <w:rPr>
          <w:rFonts w:ascii="Arial" w:hAnsi="Arial"/>
          <w:lang w:val="es-MX"/>
        </w:rPr>
        <w:t xml:space="preserve"> 05</w:t>
      </w:r>
      <w:r w:rsidR="00A30235">
        <w:rPr>
          <w:rFonts w:ascii="Arial" w:hAnsi="Arial"/>
          <w:lang w:val="es-MX"/>
        </w:rPr>
        <w:t>/2012</w:t>
      </w:r>
      <w:r w:rsidR="002A513B">
        <w:rPr>
          <w:rFonts w:ascii="Arial" w:hAnsi="Arial"/>
          <w:lang w:val="es-MX"/>
        </w:rPr>
        <w:t xml:space="preserve"> </w:t>
      </w:r>
      <w:r w:rsidR="00A30235">
        <w:rPr>
          <w:rFonts w:ascii="Arial" w:hAnsi="Arial"/>
          <w:lang w:val="es-MX"/>
        </w:rPr>
        <w:t>hasta</w:t>
      </w:r>
      <w:r w:rsidR="001E29F1">
        <w:rPr>
          <w:rFonts w:ascii="Arial" w:hAnsi="Arial"/>
          <w:lang w:val="es-MX"/>
        </w:rPr>
        <w:t xml:space="preserve"> la suma de U$</w:t>
      </w:r>
      <w:r w:rsidR="00E8688E">
        <w:rPr>
          <w:rFonts w:ascii="Arial" w:hAnsi="Arial"/>
          <w:lang w:val="es-MX"/>
        </w:rPr>
        <w:t>S</w:t>
      </w:r>
      <w:r w:rsidR="001E29F1">
        <w:rPr>
          <w:rFonts w:ascii="Arial" w:hAnsi="Arial"/>
          <w:lang w:val="es-MX"/>
        </w:rPr>
        <w:t xml:space="preserve"> 74.303, más la suma de U$</w:t>
      </w:r>
      <w:r w:rsidR="00E8688E">
        <w:rPr>
          <w:rFonts w:ascii="Arial" w:hAnsi="Arial"/>
          <w:lang w:val="es-MX"/>
        </w:rPr>
        <w:t>S</w:t>
      </w:r>
      <w:r w:rsidR="001E29F1">
        <w:rPr>
          <w:rFonts w:ascii="Arial" w:hAnsi="Arial"/>
          <w:lang w:val="es-MX"/>
        </w:rPr>
        <w:t xml:space="preserve"> 7.320 IVA incluido por mantenimiento preventivo por 5 años, correspondientes a los objetos adjudicados </w:t>
      </w:r>
      <w:r w:rsidR="00F61792">
        <w:rPr>
          <w:rFonts w:ascii="Arial" w:hAnsi="Arial"/>
          <w:lang w:val="es-MX"/>
        </w:rPr>
        <w:t xml:space="preserve">en el procedimiento original </w:t>
      </w:r>
      <w:r w:rsidR="001E29F1">
        <w:rPr>
          <w:rFonts w:ascii="Arial" w:hAnsi="Arial"/>
          <w:lang w:val="es-MX"/>
        </w:rPr>
        <w:t xml:space="preserve">a la empresa XCMG Uruguay S.A., y </w:t>
      </w:r>
      <w:r w:rsidR="000708FE">
        <w:rPr>
          <w:rFonts w:ascii="Arial" w:hAnsi="Arial"/>
          <w:lang w:val="es-MX"/>
        </w:rPr>
        <w:t>ad referéndum del Tribunal de Cuentas de la República;</w:t>
      </w:r>
    </w:p>
    <w:p w:rsidR="00514E93" w:rsidRDefault="00285DD4" w:rsidP="00747704">
      <w:pPr>
        <w:pStyle w:val="Textoindependiente2"/>
        <w:tabs>
          <w:tab w:val="left" w:pos="1843"/>
        </w:tabs>
        <w:spacing w:line="396" w:lineRule="auto"/>
        <w:ind w:firstLine="2552"/>
        <w:jc w:val="both"/>
        <w:rPr>
          <w:rFonts w:ascii="Arial" w:hAnsi="Arial"/>
          <w:lang w:val="es-MX"/>
        </w:rPr>
      </w:pPr>
      <w:r w:rsidRPr="00285DD4">
        <w:rPr>
          <w:rFonts w:ascii="Arial" w:hAnsi="Arial"/>
          <w:b/>
          <w:lang w:val="es-MX"/>
        </w:rPr>
        <w:t>5</w:t>
      </w:r>
      <w:r w:rsidR="00514E93" w:rsidRPr="00285DD4">
        <w:rPr>
          <w:rFonts w:ascii="Arial" w:hAnsi="Arial"/>
          <w:b/>
          <w:lang w:val="es-MX"/>
        </w:rPr>
        <w:t>)</w:t>
      </w:r>
      <w:r w:rsidR="00514E93">
        <w:rPr>
          <w:rFonts w:ascii="Arial" w:hAnsi="Arial"/>
          <w:b/>
          <w:lang w:val="es-MX"/>
        </w:rPr>
        <w:t xml:space="preserve"> </w:t>
      </w:r>
      <w:r w:rsidR="00514E93">
        <w:rPr>
          <w:rFonts w:ascii="Arial" w:hAnsi="Arial"/>
          <w:lang w:val="es-MX"/>
        </w:rPr>
        <w:t xml:space="preserve">que asimismo, contando con la conformidad de la empresa adjudicataria </w:t>
      </w:r>
      <w:proofErr w:type="spellStart"/>
      <w:r w:rsidR="00514E93">
        <w:rPr>
          <w:rFonts w:ascii="Arial" w:hAnsi="Arial"/>
          <w:lang w:val="es-MX"/>
        </w:rPr>
        <w:t>F</w:t>
      </w:r>
      <w:r w:rsidR="00E8688E">
        <w:rPr>
          <w:rFonts w:ascii="Arial" w:hAnsi="Arial"/>
          <w:lang w:val="es-MX"/>
        </w:rPr>
        <w:t>inning</w:t>
      </w:r>
      <w:proofErr w:type="spellEnd"/>
      <w:r w:rsidR="00514E93">
        <w:rPr>
          <w:rFonts w:ascii="Arial" w:hAnsi="Arial"/>
          <w:lang w:val="es-MX"/>
        </w:rPr>
        <w:t xml:space="preserve"> Uruguay S.A. expresada en nota de fecha 07.10.13, el Intendente dispuso</w:t>
      </w:r>
      <w:r w:rsidR="00E8688E">
        <w:rPr>
          <w:rFonts w:ascii="Arial" w:hAnsi="Arial"/>
          <w:lang w:val="es-MX"/>
        </w:rPr>
        <w:t>,</w:t>
      </w:r>
      <w:r w:rsidR="00514E93">
        <w:rPr>
          <w:rFonts w:ascii="Arial" w:hAnsi="Arial"/>
          <w:lang w:val="es-MX"/>
        </w:rPr>
        <w:t xml:space="preserve"> por Resolución Nº 1283/2013 de fecha 11.10.13, aumentar la Licitación Pública Nº 05/2012 para la adquisición de dos compactadores vibratorios autopropulsados, adjudicados en el procedimiento original a la empresa </w:t>
      </w:r>
      <w:proofErr w:type="spellStart"/>
      <w:r w:rsidR="00514E93">
        <w:rPr>
          <w:rFonts w:ascii="Arial" w:hAnsi="Arial"/>
          <w:lang w:val="es-MX"/>
        </w:rPr>
        <w:t>F</w:t>
      </w:r>
      <w:r w:rsidR="00E8688E">
        <w:rPr>
          <w:rFonts w:ascii="Arial" w:hAnsi="Arial"/>
          <w:lang w:val="es-MX"/>
        </w:rPr>
        <w:t>inning</w:t>
      </w:r>
      <w:proofErr w:type="spellEnd"/>
      <w:r w:rsidR="00514E93">
        <w:rPr>
          <w:rFonts w:ascii="Arial" w:hAnsi="Arial"/>
          <w:lang w:val="es-MX"/>
        </w:rPr>
        <w:t xml:space="preserve"> Uruguay S.A., y ad referéndum del Tribunal de Cuentas de la República;</w:t>
      </w:r>
    </w:p>
    <w:p w:rsidR="00E47BB8" w:rsidRPr="00E47BB8" w:rsidRDefault="00285DD4" w:rsidP="00747704">
      <w:pPr>
        <w:pStyle w:val="Textoindependiente2"/>
        <w:tabs>
          <w:tab w:val="left" w:pos="1843"/>
        </w:tabs>
        <w:spacing w:line="396" w:lineRule="auto"/>
        <w:ind w:firstLine="2552"/>
        <w:jc w:val="both"/>
        <w:rPr>
          <w:rFonts w:ascii="Arial" w:hAnsi="Arial"/>
          <w:b/>
          <w:lang w:val="es-MX"/>
        </w:rPr>
      </w:pPr>
      <w:r w:rsidRPr="00285DD4">
        <w:rPr>
          <w:rFonts w:ascii="Arial" w:hAnsi="Arial"/>
          <w:b/>
          <w:lang w:val="es-MX"/>
        </w:rPr>
        <w:t>6</w:t>
      </w:r>
      <w:r w:rsidR="00E47BB8" w:rsidRPr="00285DD4">
        <w:rPr>
          <w:rFonts w:ascii="Arial" w:hAnsi="Arial"/>
          <w:b/>
          <w:lang w:val="es-MX"/>
        </w:rPr>
        <w:t>)</w:t>
      </w:r>
      <w:r w:rsidR="00E47BB8">
        <w:rPr>
          <w:rFonts w:ascii="Arial" w:hAnsi="Arial"/>
          <w:b/>
          <w:lang w:val="es-MX"/>
        </w:rPr>
        <w:t xml:space="preserve"> </w:t>
      </w:r>
      <w:r w:rsidR="00E47BB8">
        <w:rPr>
          <w:rFonts w:ascii="Arial" w:hAnsi="Arial"/>
          <w:lang w:val="es-MX"/>
        </w:rPr>
        <w:t>que no consta informe contable sobre la disponibilida</w:t>
      </w:r>
      <w:r w:rsidR="0067353A">
        <w:rPr>
          <w:rFonts w:ascii="Arial" w:hAnsi="Arial"/>
          <w:lang w:val="es-MX"/>
        </w:rPr>
        <w:t>d de rubros para hacer frente a la presente ampliación</w:t>
      </w:r>
      <w:r w:rsidR="00E47BB8">
        <w:rPr>
          <w:rFonts w:ascii="Arial" w:hAnsi="Arial"/>
          <w:lang w:val="es-MX"/>
        </w:rPr>
        <w:t>;</w:t>
      </w:r>
      <w:r w:rsidR="00E47BB8" w:rsidRPr="00E47BB8">
        <w:rPr>
          <w:rFonts w:ascii="Arial" w:hAnsi="Arial"/>
          <w:b/>
          <w:lang w:val="es-MX"/>
        </w:rPr>
        <w:t xml:space="preserve"> </w:t>
      </w:r>
    </w:p>
    <w:p w:rsidR="006551DD" w:rsidRDefault="001426A8" w:rsidP="00747704">
      <w:pPr>
        <w:spacing w:line="396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/>
          <w:b/>
          <w:lang w:val="es-MX"/>
        </w:rPr>
        <w:t xml:space="preserve">CONSIDERANDO: </w:t>
      </w:r>
      <w:r w:rsidR="00E5776C" w:rsidRPr="001426A8">
        <w:rPr>
          <w:rFonts w:ascii="Arial" w:hAnsi="Arial"/>
          <w:b/>
          <w:lang w:val="es-MX"/>
        </w:rPr>
        <w:t>1)</w:t>
      </w:r>
      <w:r w:rsidR="006551DD">
        <w:rPr>
          <w:rFonts w:ascii="Arial" w:hAnsi="Arial"/>
          <w:b/>
          <w:lang w:val="es-MX"/>
        </w:rPr>
        <w:t xml:space="preserve"> </w:t>
      </w:r>
      <w:r w:rsidR="00B63446" w:rsidRPr="00B63446">
        <w:rPr>
          <w:rFonts w:ascii="Arial" w:hAnsi="Arial" w:cs="Arial"/>
          <w:lang w:val="es-MX"/>
        </w:rPr>
        <w:t>que la</w:t>
      </w:r>
      <w:r w:rsidR="00514E93">
        <w:rPr>
          <w:rFonts w:ascii="Arial" w:hAnsi="Arial" w:cs="Arial"/>
          <w:lang w:val="es-MX"/>
        </w:rPr>
        <w:t>s ampliaciones en análisis</w:t>
      </w:r>
      <w:r w:rsidR="00B63446" w:rsidRPr="00B63446">
        <w:rPr>
          <w:rFonts w:ascii="Arial" w:hAnsi="Arial" w:cs="Arial"/>
          <w:lang w:val="es-MX"/>
        </w:rPr>
        <w:t xml:space="preserve"> se ajusta</w:t>
      </w:r>
      <w:r w:rsidR="00514E93">
        <w:rPr>
          <w:rFonts w:ascii="Arial" w:hAnsi="Arial" w:cs="Arial"/>
          <w:lang w:val="es-MX"/>
        </w:rPr>
        <w:t>n</w:t>
      </w:r>
      <w:r w:rsidR="00B63446" w:rsidRPr="00B63446">
        <w:rPr>
          <w:rFonts w:ascii="Arial" w:hAnsi="Arial" w:cs="Arial"/>
          <w:lang w:val="es-MX"/>
        </w:rPr>
        <w:t xml:space="preserve"> a lo dispuesto por el </w:t>
      </w:r>
      <w:r w:rsidR="00747704">
        <w:rPr>
          <w:rFonts w:ascii="Arial" w:hAnsi="Arial" w:cs="Arial"/>
          <w:lang w:val="es-MX"/>
        </w:rPr>
        <w:t>A</w:t>
      </w:r>
      <w:r w:rsidR="00B63446" w:rsidRPr="00B63446">
        <w:rPr>
          <w:rFonts w:ascii="Arial" w:hAnsi="Arial" w:cs="Arial"/>
          <w:lang w:val="es-MX"/>
        </w:rPr>
        <w:t>rtículo 74 del T</w:t>
      </w:r>
      <w:r w:rsidR="00E86F02">
        <w:rPr>
          <w:rFonts w:ascii="Arial" w:hAnsi="Arial" w:cs="Arial"/>
          <w:lang w:val="es-MX"/>
        </w:rPr>
        <w:t>.</w:t>
      </w:r>
      <w:r w:rsidR="00B63446" w:rsidRPr="00B63446">
        <w:rPr>
          <w:rFonts w:ascii="Arial" w:hAnsi="Arial" w:cs="Arial"/>
          <w:lang w:val="es-MX"/>
        </w:rPr>
        <w:t>O</w:t>
      </w:r>
      <w:r w:rsidR="00E86F02">
        <w:rPr>
          <w:rFonts w:ascii="Arial" w:hAnsi="Arial" w:cs="Arial"/>
          <w:lang w:val="es-MX"/>
        </w:rPr>
        <w:t>.</w:t>
      </w:r>
      <w:r w:rsidR="00B63446" w:rsidRPr="00B63446">
        <w:rPr>
          <w:rFonts w:ascii="Arial" w:hAnsi="Arial" w:cs="Arial"/>
          <w:lang w:val="es-MX"/>
        </w:rPr>
        <w:t>C</w:t>
      </w:r>
      <w:r w:rsidR="00E86F02">
        <w:rPr>
          <w:rFonts w:ascii="Arial" w:hAnsi="Arial" w:cs="Arial"/>
          <w:lang w:val="es-MX"/>
        </w:rPr>
        <w:t>.</w:t>
      </w:r>
      <w:r w:rsidR="00B63446" w:rsidRPr="00B63446">
        <w:rPr>
          <w:rFonts w:ascii="Arial" w:hAnsi="Arial" w:cs="Arial"/>
          <w:lang w:val="es-MX"/>
        </w:rPr>
        <w:t>A</w:t>
      </w:r>
      <w:r w:rsidR="00E86F02">
        <w:rPr>
          <w:rFonts w:ascii="Arial" w:hAnsi="Arial" w:cs="Arial"/>
          <w:lang w:val="es-MX"/>
        </w:rPr>
        <w:t>.</w:t>
      </w:r>
      <w:r w:rsidR="00B63446" w:rsidRPr="00B63446">
        <w:rPr>
          <w:rFonts w:ascii="Arial" w:hAnsi="Arial" w:cs="Arial"/>
          <w:lang w:val="es-MX"/>
        </w:rPr>
        <w:t>F</w:t>
      </w:r>
      <w:r w:rsidR="00E86F02">
        <w:rPr>
          <w:rFonts w:ascii="Arial" w:hAnsi="Arial" w:cs="Arial"/>
          <w:lang w:val="es-MX"/>
        </w:rPr>
        <w:t>. en tanto consta conformidad de</w:t>
      </w:r>
      <w:r w:rsidR="00514E93">
        <w:rPr>
          <w:rFonts w:ascii="Arial" w:hAnsi="Arial" w:cs="Arial"/>
          <w:lang w:val="es-MX"/>
        </w:rPr>
        <w:t xml:space="preserve"> </w:t>
      </w:r>
      <w:r w:rsidR="00E86F02">
        <w:rPr>
          <w:rFonts w:ascii="Arial" w:hAnsi="Arial" w:cs="Arial"/>
          <w:lang w:val="es-MX"/>
        </w:rPr>
        <w:t>l</w:t>
      </w:r>
      <w:r w:rsidR="00514E93">
        <w:rPr>
          <w:rFonts w:ascii="Arial" w:hAnsi="Arial" w:cs="Arial"/>
          <w:lang w:val="es-MX"/>
        </w:rPr>
        <w:t>os</w:t>
      </w:r>
      <w:r w:rsidR="00E86F02">
        <w:rPr>
          <w:rFonts w:ascii="Arial" w:hAnsi="Arial" w:cs="Arial"/>
          <w:lang w:val="es-MX"/>
        </w:rPr>
        <w:t xml:space="preserve"> adjudicatario</w:t>
      </w:r>
      <w:r w:rsidR="00514E93">
        <w:rPr>
          <w:rFonts w:ascii="Arial" w:hAnsi="Arial" w:cs="Arial"/>
          <w:lang w:val="es-MX"/>
        </w:rPr>
        <w:t>s</w:t>
      </w:r>
      <w:r w:rsidR="00E86F02">
        <w:rPr>
          <w:rFonts w:ascii="Arial" w:hAnsi="Arial" w:cs="Arial"/>
          <w:lang w:val="es-MX"/>
        </w:rPr>
        <w:t xml:space="preserve">, </w:t>
      </w:r>
      <w:r w:rsidR="00F27C73">
        <w:rPr>
          <w:rFonts w:ascii="Arial" w:hAnsi="Arial" w:cs="Arial"/>
          <w:lang w:val="es-MX"/>
        </w:rPr>
        <w:t xml:space="preserve">se mantienen las condiciones de la contratación original y no se excede el límite del 100% fijado por el </w:t>
      </w:r>
      <w:r w:rsidR="00E8688E">
        <w:rPr>
          <w:rFonts w:ascii="Arial" w:hAnsi="Arial" w:cs="Arial"/>
          <w:lang w:val="es-MX"/>
        </w:rPr>
        <w:t>A</w:t>
      </w:r>
      <w:r w:rsidR="00F27C73">
        <w:rPr>
          <w:rFonts w:ascii="Arial" w:hAnsi="Arial" w:cs="Arial"/>
          <w:lang w:val="es-MX"/>
        </w:rPr>
        <w:t>rtículo precitado</w:t>
      </w:r>
      <w:r w:rsidR="00B63446" w:rsidRPr="00B63446">
        <w:rPr>
          <w:rFonts w:ascii="Arial" w:hAnsi="Arial" w:cs="Arial"/>
          <w:lang w:val="es-MX"/>
        </w:rPr>
        <w:t>;</w:t>
      </w:r>
    </w:p>
    <w:p w:rsidR="00170BEF" w:rsidRDefault="004A2215" w:rsidP="00747704">
      <w:pPr>
        <w:tabs>
          <w:tab w:val="left" w:pos="2127"/>
        </w:tabs>
        <w:spacing w:line="396" w:lineRule="auto"/>
        <w:ind w:firstLine="2835"/>
        <w:jc w:val="both"/>
        <w:rPr>
          <w:rFonts w:ascii="Arial" w:hAnsi="Arial" w:cs="Arial"/>
        </w:rPr>
      </w:pPr>
      <w:r w:rsidRPr="004A2215">
        <w:rPr>
          <w:rFonts w:ascii="Arial" w:hAnsi="Arial" w:cs="Arial"/>
          <w:b/>
          <w:lang w:val="es-MX"/>
        </w:rPr>
        <w:t>2</w:t>
      </w:r>
      <w:r w:rsidR="00170BEF" w:rsidRPr="004A2215">
        <w:rPr>
          <w:rFonts w:ascii="Arial" w:hAnsi="Arial" w:cs="Arial"/>
          <w:b/>
          <w:lang w:val="es-MX"/>
        </w:rPr>
        <w:t>)</w:t>
      </w:r>
      <w:r w:rsidR="00170BEF">
        <w:rPr>
          <w:rFonts w:ascii="Arial" w:hAnsi="Arial" w:cs="Arial"/>
          <w:b/>
          <w:lang w:val="es-MX"/>
        </w:rPr>
        <w:t xml:space="preserve"> </w:t>
      </w:r>
      <w:r w:rsidR="005B709C">
        <w:rPr>
          <w:rFonts w:ascii="Arial" w:hAnsi="Arial" w:cs="Arial"/>
        </w:rPr>
        <w:t>que</w:t>
      </w:r>
      <w:r w:rsidR="008A5F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sin perjuicio de lo anterior, </w:t>
      </w:r>
      <w:r w:rsidR="00514E93">
        <w:rPr>
          <w:rFonts w:ascii="Arial" w:hAnsi="Arial" w:cs="Arial"/>
        </w:rPr>
        <w:t>las ampliacio</w:t>
      </w:r>
      <w:r w:rsidR="005B709C">
        <w:rPr>
          <w:rFonts w:ascii="Arial" w:hAnsi="Arial" w:cs="Arial"/>
        </w:rPr>
        <w:t>n</w:t>
      </w:r>
      <w:r w:rsidR="00514E93">
        <w:rPr>
          <w:rFonts w:ascii="Arial" w:hAnsi="Arial" w:cs="Arial"/>
        </w:rPr>
        <w:t>es</w:t>
      </w:r>
      <w:r w:rsidR="005B709C">
        <w:rPr>
          <w:rFonts w:ascii="Arial" w:hAnsi="Arial" w:cs="Arial"/>
        </w:rPr>
        <w:t xml:space="preserve"> dispuesta</w:t>
      </w:r>
      <w:r w:rsidR="00514E93">
        <w:rPr>
          <w:rFonts w:ascii="Arial" w:hAnsi="Arial" w:cs="Arial"/>
        </w:rPr>
        <w:t>s</w:t>
      </w:r>
      <w:r w:rsidR="005B709C">
        <w:rPr>
          <w:rFonts w:ascii="Arial" w:hAnsi="Arial" w:cs="Arial"/>
        </w:rPr>
        <w:t xml:space="preserve"> resulta</w:t>
      </w:r>
      <w:r w:rsidR="00514E93">
        <w:rPr>
          <w:rFonts w:ascii="Arial" w:hAnsi="Arial" w:cs="Arial"/>
        </w:rPr>
        <w:t>n</w:t>
      </w:r>
      <w:r w:rsidR="005B709C">
        <w:rPr>
          <w:rFonts w:ascii="Arial" w:hAnsi="Arial" w:cs="Arial"/>
        </w:rPr>
        <w:t xml:space="preserve"> afectada</w:t>
      </w:r>
      <w:r w:rsidR="00514E93">
        <w:rPr>
          <w:rFonts w:ascii="Arial" w:hAnsi="Arial" w:cs="Arial"/>
        </w:rPr>
        <w:t>s</w:t>
      </w:r>
      <w:r w:rsidR="005B709C">
        <w:rPr>
          <w:rFonts w:ascii="Arial" w:hAnsi="Arial" w:cs="Arial"/>
        </w:rPr>
        <w:t xml:space="preserve"> </w:t>
      </w:r>
      <w:r w:rsidR="00581321">
        <w:rPr>
          <w:rFonts w:ascii="Arial" w:hAnsi="Arial" w:cs="Arial"/>
        </w:rPr>
        <w:t xml:space="preserve">por </w:t>
      </w:r>
      <w:r w:rsidR="005B709C">
        <w:rPr>
          <w:rFonts w:ascii="Arial" w:hAnsi="Arial" w:cs="Arial"/>
        </w:rPr>
        <w:t>la</w:t>
      </w:r>
      <w:r w:rsidR="00581321">
        <w:rPr>
          <w:rFonts w:ascii="Arial" w:hAnsi="Arial" w:cs="Arial"/>
        </w:rPr>
        <w:t>s observacio</w:t>
      </w:r>
      <w:r w:rsidR="005B709C">
        <w:rPr>
          <w:rFonts w:ascii="Arial" w:hAnsi="Arial" w:cs="Arial"/>
        </w:rPr>
        <w:t>n</w:t>
      </w:r>
      <w:r w:rsidR="00581321">
        <w:rPr>
          <w:rFonts w:ascii="Arial" w:hAnsi="Arial" w:cs="Arial"/>
        </w:rPr>
        <w:t>es</w:t>
      </w:r>
      <w:r w:rsidR="005B709C">
        <w:rPr>
          <w:rFonts w:ascii="Arial" w:hAnsi="Arial" w:cs="Arial"/>
        </w:rPr>
        <w:t xml:space="preserve"> </w:t>
      </w:r>
      <w:r w:rsidR="002C48B6">
        <w:rPr>
          <w:rFonts w:ascii="Arial" w:hAnsi="Arial" w:cs="Arial"/>
        </w:rPr>
        <w:t xml:space="preserve">recaídas </w:t>
      </w:r>
      <w:r w:rsidR="00581321">
        <w:rPr>
          <w:rFonts w:ascii="Arial" w:hAnsi="Arial" w:cs="Arial"/>
        </w:rPr>
        <w:t>sobre la Licitación original</w:t>
      </w:r>
      <w:r w:rsidR="005B709C">
        <w:rPr>
          <w:rFonts w:ascii="Arial" w:hAnsi="Arial" w:cs="Arial"/>
        </w:rPr>
        <w:t xml:space="preserve"> (Resultando 2), puesto que las mismas ref</w:t>
      </w:r>
      <w:r w:rsidR="0067353A">
        <w:rPr>
          <w:rFonts w:ascii="Arial" w:hAnsi="Arial" w:cs="Arial"/>
        </w:rPr>
        <w:t>ieren</w:t>
      </w:r>
      <w:r w:rsidR="005B709C">
        <w:rPr>
          <w:rFonts w:ascii="Arial" w:hAnsi="Arial" w:cs="Arial"/>
        </w:rPr>
        <w:t xml:space="preserve"> a vicios de procedimiento insubsanables;</w:t>
      </w:r>
    </w:p>
    <w:p w:rsidR="00E5776C" w:rsidRDefault="00E5776C" w:rsidP="00747704">
      <w:pPr>
        <w:spacing w:line="396" w:lineRule="auto"/>
        <w:ind w:firstLine="708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ATENTO: </w:t>
      </w:r>
      <w:r>
        <w:rPr>
          <w:rFonts w:ascii="Arial" w:hAnsi="Arial"/>
          <w:lang w:val="es-MX"/>
        </w:rPr>
        <w:t xml:space="preserve">a lo precedentemente expuesto, a lo establecido en el Artículo 211 Literal B) de </w:t>
      </w:r>
      <w:r w:rsidR="00CB5707">
        <w:rPr>
          <w:rFonts w:ascii="Arial" w:hAnsi="Arial"/>
          <w:lang w:val="es-MX"/>
        </w:rPr>
        <w:t>la Constitución de la República;</w:t>
      </w:r>
    </w:p>
    <w:p w:rsidR="00187E77" w:rsidRDefault="00187E77" w:rsidP="00514E93">
      <w:pPr>
        <w:spacing w:line="396" w:lineRule="auto"/>
        <w:jc w:val="both"/>
        <w:rPr>
          <w:rFonts w:ascii="Arial" w:hAnsi="Arial"/>
          <w:lang w:val="es-MX"/>
        </w:rPr>
      </w:pPr>
    </w:p>
    <w:p w:rsidR="00E5776C" w:rsidRPr="00747704" w:rsidRDefault="00E5776C" w:rsidP="00514E93">
      <w:pPr>
        <w:pStyle w:val="Ttulo1"/>
        <w:spacing w:line="396" w:lineRule="auto"/>
        <w:rPr>
          <w:rFonts w:ascii="Arial" w:hAnsi="Arial" w:cs="Arial"/>
        </w:rPr>
      </w:pPr>
      <w:r w:rsidRPr="00747704">
        <w:rPr>
          <w:rFonts w:ascii="Arial" w:hAnsi="Arial" w:cs="Arial"/>
        </w:rPr>
        <w:lastRenderedPageBreak/>
        <w:t>EL TRIBUNAL ACUERDA</w:t>
      </w:r>
    </w:p>
    <w:p w:rsidR="00E5776C" w:rsidRDefault="00BF7E8F" w:rsidP="00514E93">
      <w:pPr>
        <w:numPr>
          <w:ilvl w:val="0"/>
          <w:numId w:val="1"/>
        </w:numPr>
        <w:spacing w:line="396" w:lineRule="auto"/>
        <w:jc w:val="both"/>
        <w:rPr>
          <w:rFonts w:ascii="Arial" w:hAnsi="Arial" w:cs="Arial"/>
          <w:lang w:val="es-MX"/>
        </w:rPr>
      </w:pPr>
      <w:r w:rsidRPr="006444B2">
        <w:rPr>
          <w:rFonts w:ascii="Arial" w:hAnsi="Arial" w:cs="Arial"/>
          <w:lang w:val="es-MX"/>
        </w:rPr>
        <w:t>Observar el gasto emergente de la</w:t>
      </w:r>
      <w:r w:rsidR="00514E93">
        <w:rPr>
          <w:rFonts w:ascii="Arial" w:hAnsi="Arial" w:cs="Arial"/>
          <w:lang w:val="es-MX"/>
        </w:rPr>
        <w:t>s</w:t>
      </w:r>
      <w:r w:rsidRPr="006444B2">
        <w:rPr>
          <w:rFonts w:ascii="Arial" w:hAnsi="Arial" w:cs="Arial"/>
          <w:lang w:val="es-MX"/>
        </w:rPr>
        <w:t xml:space="preserve"> </w:t>
      </w:r>
      <w:r w:rsidR="00514E93">
        <w:rPr>
          <w:rFonts w:ascii="Arial" w:hAnsi="Arial" w:cs="Arial"/>
          <w:lang w:val="es-MX"/>
        </w:rPr>
        <w:t>ampliacio</w:t>
      </w:r>
      <w:r w:rsidRPr="006444B2">
        <w:rPr>
          <w:rFonts w:ascii="Arial" w:hAnsi="Arial" w:cs="Arial"/>
          <w:lang w:val="es-MX"/>
        </w:rPr>
        <w:t>n</w:t>
      </w:r>
      <w:r w:rsidR="00514E93">
        <w:rPr>
          <w:rFonts w:ascii="Arial" w:hAnsi="Arial" w:cs="Arial"/>
          <w:lang w:val="es-MX"/>
        </w:rPr>
        <w:t>es</w:t>
      </w:r>
      <w:r w:rsidRPr="006444B2">
        <w:rPr>
          <w:rFonts w:ascii="Arial" w:hAnsi="Arial" w:cs="Arial"/>
          <w:lang w:val="es-MX"/>
        </w:rPr>
        <w:t>;</w:t>
      </w:r>
    </w:p>
    <w:p w:rsidR="00731523" w:rsidRDefault="00731523" w:rsidP="00514E93">
      <w:pPr>
        <w:numPr>
          <w:ilvl w:val="0"/>
          <w:numId w:val="1"/>
        </w:numPr>
        <w:spacing w:line="396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Cometer a</w:t>
      </w:r>
      <w:r w:rsidR="009E771A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l</w:t>
      </w:r>
      <w:r w:rsidR="009E771A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 Contador</w:t>
      </w:r>
      <w:r w:rsidR="009E771A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 Delegad</w:t>
      </w:r>
      <w:r w:rsidR="009E771A">
        <w:rPr>
          <w:rFonts w:ascii="Arial" w:hAnsi="Arial"/>
          <w:lang w:val="es-MX"/>
        </w:rPr>
        <w:t>a</w:t>
      </w:r>
      <w:bookmarkStart w:id="0" w:name="_GoBack"/>
      <w:bookmarkEnd w:id="0"/>
      <w:r w:rsidR="00747CFB">
        <w:rPr>
          <w:rFonts w:ascii="Arial" w:hAnsi="Arial"/>
          <w:lang w:val="es-MX"/>
        </w:rPr>
        <w:t xml:space="preserve"> el control que</w:t>
      </w:r>
      <w:r>
        <w:rPr>
          <w:rFonts w:ascii="Arial" w:hAnsi="Arial"/>
          <w:lang w:val="es-MX"/>
        </w:rPr>
        <w:t xml:space="preserve"> la imputación del presente gasto </w:t>
      </w:r>
      <w:r w:rsidR="00747CFB">
        <w:rPr>
          <w:rFonts w:ascii="Arial" w:hAnsi="Arial"/>
          <w:lang w:val="es-MX"/>
        </w:rPr>
        <w:t>se realice en</w:t>
      </w:r>
      <w:r>
        <w:rPr>
          <w:rFonts w:ascii="Arial" w:hAnsi="Arial"/>
          <w:lang w:val="es-MX"/>
        </w:rPr>
        <w:t xml:space="preserve"> el rubro correspondiente con disponibilidad suficiente y, en caso contrario, la formulación de la observación respectiva;</w:t>
      </w:r>
    </w:p>
    <w:p w:rsidR="00747704" w:rsidRDefault="00747704" w:rsidP="00514E93">
      <w:pPr>
        <w:numPr>
          <w:ilvl w:val="0"/>
          <w:numId w:val="1"/>
        </w:numPr>
        <w:spacing w:line="396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a la Contadora Delegada; y</w:t>
      </w:r>
    </w:p>
    <w:p w:rsidR="00E5776C" w:rsidRDefault="00E5776C" w:rsidP="00514E93">
      <w:pPr>
        <w:numPr>
          <w:ilvl w:val="0"/>
          <w:numId w:val="1"/>
        </w:numPr>
        <w:spacing w:line="396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Devolver las actuaciones.</w:t>
      </w:r>
    </w:p>
    <w:p w:rsidR="00E5776C" w:rsidRDefault="00E5776C" w:rsidP="00514E93">
      <w:pPr>
        <w:spacing w:line="396" w:lineRule="auto"/>
        <w:jc w:val="both"/>
        <w:rPr>
          <w:rFonts w:ascii="Arial" w:hAnsi="Arial"/>
          <w:lang w:val="es-MX"/>
        </w:rPr>
      </w:pPr>
    </w:p>
    <w:p w:rsidR="00E927F6" w:rsidRPr="00E927F6" w:rsidRDefault="00747704" w:rsidP="00747704">
      <w:pPr>
        <w:spacing w:line="396" w:lineRule="auto"/>
        <w:jc w:val="both"/>
        <w:rPr>
          <w:rFonts w:ascii="Arial" w:hAnsi="Arial"/>
          <w:sz w:val="20"/>
          <w:lang w:val="es-MX"/>
        </w:rPr>
      </w:pPr>
      <w:proofErr w:type="spellStart"/>
      <w:proofErr w:type="gramStart"/>
      <w:r>
        <w:rPr>
          <w:rFonts w:ascii="Arial" w:hAnsi="Arial"/>
          <w:sz w:val="20"/>
          <w:lang w:val="es-MX"/>
        </w:rPr>
        <w:t>cr</w:t>
      </w:r>
      <w:proofErr w:type="spellEnd"/>
      <w:proofErr w:type="gramEnd"/>
      <w:r w:rsidRPr="00E927F6">
        <w:rPr>
          <w:rFonts w:ascii="Arial" w:hAnsi="Arial"/>
          <w:sz w:val="20"/>
          <w:lang w:val="es-MX"/>
        </w:rPr>
        <w:t xml:space="preserve"> </w:t>
      </w:r>
    </w:p>
    <w:sectPr w:rsidR="00E927F6" w:rsidRPr="00E927F6" w:rsidSect="00747704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742" w:rsidRDefault="00B21742">
      <w:r>
        <w:separator/>
      </w:r>
    </w:p>
  </w:endnote>
  <w:endnote w:type="continuationSeparator" w:id="0">
    <w:p w:rsidR="00B21742" w:rsidRDefault="00B2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9F1" w:rsidRDefault="001E29F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E29F1" w:rsidRDefault="001E29F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9F1" w:rsidRDefault="001E29F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771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E29F1" w:rsidRDefault="001E29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742" w:rsidRDefault="00B21742">
      <w:r>
        <w:separator/>
      </w:r>
    </w:p>
  </w:footnote>
  <w:footnote w:type="continuationSeparator" w:id="0">
    <w:p w:rsidR="00B21742" w:rsidRDefault="00B2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D73EE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6C"/>
    <w:rsid w:val="0000185C"/>
    <w:rsid w:val="0002323E"/>
    <w:rsid w:val="00046DB7"/>
    <w:rsid w:val="00056B07"/>
    <w:rsid w:val="00066592"/>
    <w:rsid w:val="000708FE"/>
    <w:rsid w:val="000870F7"/>
    <w:rsid w:val="0009034C"/>
    <w:rsid w:val="000D3603"/>
    <w:rsid w:val="000D3ABC"/>
    <w:rsid w:val="001045D3"/>
    <w:rsid w:val="001426A8"/>
    <w:rsid w:val="00170BEF"/>
    <w:rsid w:val="00187E77"/>
    <w:rsid w:val="001949B4"/>
    <w:rsid w:val="001A7008"/>
    <w:rsid w:val="001C6FA0"/>
    <w:rsid w:val="001E29F1"/>
    <w:rsid w:val="001E7097"/>
    <w:rsid w:val="001F7DAD"/>
    <w:rsid w:val="0021211B"/>
    <w:rsid w:val="002505FC"/>
    <w:rsid w:val="00285DD4"/>
    <w:rsid w:val="00286231"/>
    <w:rsid w:val="002A513B"/>
    <w:rsid w:val="002C0CF1"/>
    <w:rsid w:val="002C48B6"/>
    <w:rsid w:val="002C77FA"/>
    <w:rsid w:val="0037311A"/>
    <w:rsid w:val="00384FAC"/>
    <w:rsid w:val="00393DF2"/>
    <w:rsid w:val="003B7F4B"/>
    <w:rsid w:val="00422AC4"/>
    <w:rsid w:val="00464884"/>
    <w:rsid w:val="004742BC"/>
    <w:rsid w:val="004A2215"/>
    <w:rsid w:val="004A6086"/>
    <w:rsid w:val="004C696E"/>
    <w:rsid w:val="004D27D5"/>
    <w:rsid w:val="004D602D"/>
    <w:rsid w:val="00500755"/>
    <w:rsid w:val="00514E93"/>
    <w:rsid w:val="00537A3C"/>
    <w:rsid w:val="00565F8B"/>
    <w:rsid w:val="00566C98"/>
    <w:rsid w:val="00581321"/>
    <w:rsid w:val="00591729"/>
    <w:rsid w:val="005B709C"/>
    <w:rsid w:val="005D4073"/>
    <w:rsid w:val="005E2B07"/>
    <w:rsid w:val="00601294"/>
    <w:rsid w:val="0061104B"/>
    <w:rsid w:val="006444B2"/>
    <w:rsid w:val="006551DD"/>
    <w:rsid w:val="00666D00"/>
    <w:rsid w:val="0067353A"/>
    <w:rsid w:val="00675393"/>
    <w:rsid w:val="006D67D5"/>
    <w:rsid w:val="00725663"/>
    <w:rsid w:val="00731523"/>
    <w:rsid w:val="00747704"/>
    <w:rsid w:val="00747CFB"/>
    <w:rsid w:val="00823F3E"/>
    <w:rsid w:val="00825911"/>
    <w:rsid w:val="008503BA"/>
    <w:rsid w:val="008738D4"/>
    <w:rsid w:val="008A5F71"/>
    <w:rsid w:val="008C64F4"/>
    <w:rsid w:val="008E4A4E"/>
    <w:rsid w:val="009B6BC5"/>
    <w:rsid w:val="009E696E"/>
    <w:rsid w:val="009E771A"/>
    <w:rsid w:val="00A27322"/>
    <w:rsid w:val="00A30235"/>
    <w:rsid w:val="00A41876"/>
    <w:rsid w:val="00A740B5"/>
    <w:rsid w:val="00A74438"/>
    <w:rsid w:val="00A87EB4"/>
    <w:rsid w:val="00A951A7"/>
    <w:rsid w:val="00AC46A3"/>
    <w:rsid w:val="00AC538D"/>
    <w:rsid w:val="00AD4C19"/>
    <w:rsid w:val="00AE1818"/>
    <w:rsid w:val="00AF5AE4"/>
    <w:rsid w:val="00AF7118"/>
    <w:rsid w:val="00B13479"/>
    <w:rsid w:val="00B21742"/>
    <w:rsid w:val="00B40A47"/>
    <w:rsid w:val="00B42DDC"/>
    <w:rsid w:val="00B57B3F"/>
    <w:rsid w:val="00B63446"/>
    <w:rsid w:val="00B709AE"/>
    <w:rsid w:val="00BA0243"/>
    <w:rsid w:val="00BF7E8F"/>
    <w:rsid w:val="00C066A8"/>
    <w:rsid w:val="00C115C2"/>
    <w:rsid w:val="00C6175D"/>
    <w:rsid w:val="00CA3E52"/>
    <w:rsid w:val="00CB5707"/>
    <w:rsid w:val="00CC102B"/>
    <w:rsid w:val="00CD00E4"/>
    <w:rsid w:val="00CF0CDF"/>
    <w:rsid w:val="00D117A3"/>
    <w:rsid w:val="00D26210"/>
    <w:rsid w:val="00DB5DC0"/>
    <w:rsid w:val="00DD030F"/>
    <w:rsid w:val="00DF79D1"/>
    <w:rsid w:val="00E17644"/>
    <w:rsid w:val="00E35DAF"/>
    <w:rsid w:val="00E47BB8"/>
    <w:rsid w:val="00E55091"/>
    <w:rsid w:val="00E5776C"/>
    <w:rsid w:val="00E81A4E"/>
    <w:rsid w:val="00E8688E"/>
    <w:rsid w:val="00E86F02"/>
    <w:rsid w:val="00E9273F"/>
    <w:rsid w:val="00E927F6"/>
    <w:rsid w:val="00ED072D"/>
    <w:rsid w:val="00ED08F4"/>
    <w:rsid w:val="00F27C73"/>
    <w:rsid w:val="00F61792"/>
    <w:rsid w:val="00F629D4"/>
    <w:rsid w:val="00F80347"/>
    <w:rsid w:val="00F808DB"/>
    <w:rsid w:val="00F848C0"/>
    <w:rsid w:val="00FA2742"/>
    <w:rsid w:val="00FA607D"/>
    <w:rsid w:val="00FC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lang w:val="es-MX"/>
    </w:rPr>
  </w:style>
  <w:style w:type="character" w:styleId="Hipervnculo">
    <w:name w:val="Hyperlink"/>
    <w:uiPriority w:val="99"/>
    <w:unhideWhenUsed/>
    <w:rsid w:val="001045D3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C6FA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1C6FA0"/>
    <w:rPr>
      <w:rFonts w:ascii="Bookman Old Style" w:hAnsi="Bookman Old Styl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166</vt:lpstr>
    </vt:vector>
  </TitlesOfParts>
  <Company>TCR</Company>
  <LinksUpToDate>false</LinksUpToDate>
  <CharactersWithSpaces>3306</CharactersWithSpaces>
  <SharedDoc>false</SharedDoc>
  <HLinks>
    <vt:vector size="6" baseType="variant">
      <vt:variant>
        <vt:i4>3801088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\\Tcrnw03\vol1\USUARIOS\JUR-GDEP\Misdocumentos\LICITACIONES\Tacuarembo\2013-17-1-0003275 v2.doc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166</dc:title>
  <dc:subject/>
  <dc:creator>Gobiernos Departamentales</dc:creator>
  <cp:keywords/>
  <cp:lastModifiedBy>tribunal1</cp:lastModifiedBy>
  <cp:revision>6</cp:revision>
  <cp:lastPrinted>2013-11-12T18:08:00Z</cp:lastPrinted>
  <dcterms:created xsi:type="dcterms:W3CDTF">2013-11-12T18:08:00Z</dcterms:created>
  <dcterms:modified xsi:type="dcterms:W3CDTF">2013-11-12T19:51:00Z</dcterms:modified>
</cp:coreProperties>
</file>