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E1" w:rsidRDefault="00EA57E1">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EA57E1" w:rsidRDefault="00EA57E1">
      <w:pPr>
        <w:tabs>
          <w:tab w:val="left" w:pos="-720"/>
        </w:tabs>
        <w:suppressAutoHyphens/>
        <w:jc w:val="center"/>
        <w:rPr>
          <w:rFonts w:ascii="Helvetica" w:hAnsi="Helvetica"/>
          <w:b/>
          <w:lang w:val="es-ES_tradnl"/>
        </w:rPr>
      </w:pPr>
    </w:p>
    <w:p w:rsidR="00EA57E1" w:rsidRDefault="00EA57E1">
      <w:pPr>
        <w:tabs>
          <w:tab w:val="center" w:pos="4253"/>
        </w:tabs>
        <w:suppressAutoHyphens/>
        <w:jc w:val="center"/>
        <w:rPr>
          <w:rFonts w:ascii="Helvetica" w:hAnsi="Helvetica"/>
          <w:b/>
          <w:lang w:val="es-ES_tradnl"/>
        </w:rPr>
      </w:pPr>
      <w:r>
        <w:rPr>
          <w:rFonts w:ascii="Helvetica" w:hAnsi="Helvetica"/>
          <w:b/>
          <w:lang w:val="es-ES_tradnl"/>
        </w:rPr>
        <w:t>TRIBUNAL DE CUENTAS</w:t>
      </w:r>
    </w:p>
    <w:p w:rsidR="00EA57E1" w:rsidRDefault="00EA57E1">
      <w:pPr>
        <w:tabs>
          <w:tab w:val="left" w:pos="-720"/>
        </w:tabs>
        <w:suppressAutoHyphens/>
        <w:jc w:val="center"/>
        <w:rPr>
          <w:rFonts w:ascii="Helvetica" w:hAnsi="Helvetica"/>
          <w:b/>
          <w:lang w:val="es-ES_tradnl"/>
        </w:rPr>
      </w:pPr>
    </w:p>
    <w:p w:rsidR="00EA57E1" w:rsidRDefault="00EA57E1">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EA57E1" w:rsidRDefault="00EA57E1">
      <w:pPr>
        <w:tabs>
          <w:tab w:val="center" w:pos="4253"/>
        </w:tabs>
        <w:suppressAutoHyphens/>
        <w:jc w:val="center"/>
        <w:rPr>
          <w:rFonts w:ascii="Helvetica" w:hAnsi="Helvetica"/>
          <w:b/>
          <w:lang w:val="es-ES_tradnl"/>
        </w:rPr>
      </w:pPr>
    </w:p>
    <w:p w:rsidR="00EA57E1" w:rsidRPr="00EA57E1" w:rsidRDefault="00EA57E1">
      <w:pPr>
        <w:tabs>
          <w:tab w:val="center" w:pos="4253"/>
        </w:tabs>
        <w:suppressAutoHyphens/>
        <w:jc w:val="center"/>
        <w:rPr>
          <w:rFonts w:ascii="Helvetica" w:hAnsi="Helvetica"/>
          <w:b/>
          <w:lang w:val="es-UY"/>
        </w:rPr>
      </w:pPr>
      <w:r w:rsidRPr="004452A3">
        <w:rPr>
          <w:rFonts w:ascii="Helvetica" w:hAnsi="Helvetica"/>
          <w:b/>
          <w:lang w:val="en-US"/>
        </w:rPr>
        <w:t xml:space="preserve">(E. E. Nº 2013-17-1-0004102, </w:t>
      </w:r>
      <w:proofErr w:type="spellStart"/>
      <w:proofErr w:type="gramStart"/>
      <w:r w:rsidRPr="004452A3">
        <w:rPr>
          <w:rFonts w:ascii="Helvetica" w:hAnsi="Helvetica"/>
          <w:b/>
          <w:lang w:val="en-US"/>
        </w:rPr>
        <w:t>Ent</w:t>
      </w:r>
      <w:proofErr w:type="spellEnd"/>
      <w:proofErr w:type="gramEnd"/>
      <w:r w:rsidRPr="004452A3">
        <w:rPr>
          <w:rFonts w:ascii="Helvetica" w:hAnsi="Helvetica"/>
          <w:b/>
          <w:lang w:val="en-US"/>
        </w:rPr>
        <w:t xml:space="preserve">. </w:t>
      </w:r>
      <w:proofErr w:type="spellStart"/>
      <w:proofErr w:type="gramStart"/>
      <w:r w:rsidRPr="004452A3">
        <w:rPr>
          <w:rFonts w:ascii="Helvetica" w:hAnsi="Helvetica"/>
          <w:b/>
          <w:lang w:val="en-US"/>
        </w:rPr>
        <w:t>Inic</w:t>
      </w:r>
      <w:proofErr w:type="spellEnd"/>
      <w:r w:rsidRPr="004452A3">
        <w:rPr>
          <w:rFonts w:ascii="Helvetica" w:hAnsi="Helvetica"/>
          <w:b/>
          <w:lang w:val="en-US"/>
        </w:rPr>
        <w:t>.</w:t>
      </w:r>
      <w:proofErr w:type="gramEnd"/>
      <w:r w:rsidRPr="004452A3">
        <w:rPr>
          <w:rFonts w:ascii="Helvetica" w:hAnsi="Helvetica"/>
          <w:b/>
          <w:lang w:val="en-US"/>
        </w:rPr>
        <w:t xml:space="preserve"> </w:t>
      </w:r>
      <w:r w:rsidRPr="00EA57E1">
        <w:rPr>
          <w:rFonts w:ascii="Helvetica" w:hAnsi="Helvetica"/>
          <w:b/>
          <w:lang w:val="es-UY"/>
        </w:rPr>
        <w:t>N°</w:t>
      </w:r>
      <w:r>
        <w:rPr>
          <w:rFonts w:ascii="Helvetica" w:hAnsi="Helvetica"/>
          <w:b/>
          <w:lang w:val="es-UY"/>
        </w:rPr>
        <w:t xml:space="preserve"> 458/13</w:t>
      </w:r>
      <w:r w:rsidRPr="00EA57E1">
        <w:rPr>
          <w:rFonts w:ascii="Helvetica" w:hAnsi="Helvetica"/>
          <w:b/>
          <w:lang w:val="es-UY"/>
        </w:rPr>
        <w:t>)</w:t>
      </w:r>
    </w:p>
    <w:p w:rsidR="00EA57E1" w:rsidRPr="00EA57E1" w:rsidRDefault="00EA57E1">
      <w:pPr>
        <w:tabs>
          <w:tab w:val="center" w:pos="4253"/>
        </w:tabs>
        <w:suppressAutoHyphens/>
        <w:jc w:val="center"/>
        <w:rPr>
          <w:spacing w:val="-3"/>
          <w:lang w:val="es-UY"/>
        </w:rPr>
      </w:pPr>
    </w:p>
    <w:p w:rsidR="00263250" w:rsidRDefault="00263250" w:rsidP="00263250">
      <w:pPr>
        <w:jc w:val="both"/>
      </w:pPr>
    </w:p>
    <w:p w:rsidR="00263250" w:rsidRDefault="00263250" w:rsidP="00EA57E1">
      <w:pPr>
        <w:spacing w:line="360" w:lineRule="auto"/>
        <w:ind w:firstLine="851"/>
        <w:jc w:val="both"/>
      </w:pPr>
      <w:r w:rsidRPr="00EA57E1">
        <w:rPr>
          <w:b/>
        </w:rPr>
        <w:t>VISTO:</w:t>
      </w:r>
      <w:r w:rsidR="00EA57E1">
        <w:t xml:space="preserve"> la A</w:t>
      </w:r>
      <w:r>
        <w:t>uditoría practicada en la Facultad de Veterinaria perteneciente a la Universidad de la República referente al siste</w:t>
      </w:r>
      <w:r w:rsidR="00EA57E1">
        <w:t>ma de control interno imperante;</w:t>
      </w:r>
    </w:p>
    <w:p w:rsidR="00263250" w:rsidRDefault="00263250" w:rsidP="00EA57E1">
      <w:pPr>
        <w:pStyle w:val="Sangradetextonormal"/>
        <w:spacing w:line="360" w:lineRule="auto"/>
        <w:ind w:firstLine="851"/>
      </w:pPr>
      <w:r w:rsidRPr="00EA57E1">
        <w:rPr>
          <w:b/>
        </w:rPr>
        <w:t>RESULTANDO:</w:t>
      </w:r>
      <w:r>
        <w:t xml:space="preserve"> que el examen practicado fue realizado de acuerdo con los </w:t>
      </w:r>
      <w:r w:rsidR="004452A3">
        <w:t>p</w:t>
      </w:r>
      <w:r>
        <w:t>rincipios fundamentales de Auditoría (ISSAI 100, 200, 300 y 400) de la Organización Internacional de Entidades Fiscalizadoras Superiores (INTOSAI);</w:t>
      </w:r>
    </w:p>
    <w:p w:rsidR="00263250" w:rsidRDefault="00263250" w:rsidP="00EA57E1">
      <w:pPr>
        <w:pStyle w:val="Textoindependiente"/>
        <w:spacing w:line="360" w:lineRule="auto"/>
        <w:ind w:firstLine="851"/>
      </w:pPr>
      <w:r w:rsidRPr="00EA57E1">
        <w:rPr>
          <w:b/>
        </w:rPr>
        <w:t>CONSIDERANDO:</w:t>
      </w:r>
      <w:r>
        <w:t xml:space="preserve"> que las conclusiones y evidencias obtenidas son las que se expr</w:t>
      </w:r>
      <w:r w:rsidR="00EA57E1">
        <w:t>esan en el Informe de Auditoría;</w:t>
      </w:r>
    </w:p>
    <w:p w:rsidR="00263250" w:rsidRDefault="00263250" w:rsidP="00EA57E1">
      <w:pPr>
        <w:pStyle w:val="Textoindependiente"/>
        <w:spacing w:line="360" w:lineRule="auto"/>
        <w:ind w:firstLine="851"/>
      </w:pPr>
      <w:r w:rsidRPr="00EA57E1">
        <w:rPr>
          <w:b/>
        </w:rPr>
        <w:t>ATENTO:</w:t>
      </w:r>
      <w:r w:rsidR="004452A3">
        <w:t xml:space="preserve"> a lo expuesto en </w:t>
      </w:r>
      <w:r>
        <w:t>l</w:t>
      </w:r>
      <w:r w:rsidR="004452A3">
        <w:t>os</w:t>
      </w:r>
      <w:r>
        <w:t xml:space="preserve"> Artículo</w:t>
      </w:r>
      <w:r w:rsidR="004452A3">
        <w:t>s</w:t>
      </w:r>
      <w:r w:rsidR="00EA57E1">
        <w:t xml:space="preserve"> 211 L</w:t>
      </w:r>
      <w:r w:rsidR="004452A3">
        <w:t>iteral E) y 228</w:t>
      </w:r>
      <w:r>
        <w:t xml:space="preserve"> de la Constitución de la República</w:t>
      </w:r>
      <w:r w:rsidR="004452A3">
        <w:t>;</w:t>
      </w:r>
      <w:r>
        <w:t xml:space="preserve">   </w:t>
      </w:r>
    </w:p>
    <w:p w:rsidR="00263250" w:rsidRDefault="00263250" w:rsidP="00263250">
      <w:pPr>
        <w:pStyle w:val="Ttulo1"/>
        <w:spacing w:line="360" w:lineRule="auto"/>
      </w:pPr>
      <w:r>
        <w:t>EL TRIBUNAL ACUERDA</w:t>
      </w:r>
    </w:p>
    <w:p w:rsidR="00263250" w:rsidRDefault="00EA57E1" w:rsidP="00263250">
      <w:pPr>
        <w:spacing w:line="360" w:lineRule="auto"/>
      </w:pPr>
      <w:r w:rsidRPr="00EA57E1">
        <w:rPr>
          <w:b/>
        </w:rPr>
        <w:t>1)</w:t>
      </w:r>
      <w:r w:rsidR="00263250">
        <w:t xml:space="preserve"> Aprobar el Informe de A</w:t>
      </w:r>
      <w:r>
        <w:t>uditoría efectuado;</w:t>
      </w:r>
    </w:p>
    <w:p w:rsidR="00263250" w:rsidRDefault="00EA57E1" w:rsidP="00263250">
      <w:pPr>
        <w:pStyle w:val="Sangra2detindependiente"/>
        <w:spacing w:line="360" w:lineRule="auto"/>
      </w:pPr>
      <w:r w:rsidRPr="00EA57E1">
        <w:rPr>
          <w:b/>
        </w:rPr>
        <w:t>2)</w:t>
      </w:r>
      <w:r>
        <w:t xml:space="preserve"> Remitir dicho I</w:t>
      </w:r>
      <w:r w:rsidR="00263250">
        <w:t>nforme a la Universidad de la República, a la Facultad de Veterinaria y a la Contador</w:t>
      </w:r>
      <w:r>
        <w:t>a Delegada; y</w:t>
      </w:r>
    </w:p>
    <w:p w:rsidR="00263250" w:rsidRDefault="00EA57E1" w:rsidP="00263250">
      <w:pPr>
        <w:spacing w:line="360" w:lineRule="auto"/>
      </w:pPr>
      <w:r w:rsidRPr="00EA57E1">
        <w:rPr>
          <w:b/>
        </w:rPr>
        <w:t>3)</w:t>
      </w:r>
      <w:r w:rsidR="00263250">
        <w:t xml:space="preserve"> Dar cuenta a la Asamblea General.</w:t>
      </w:r>
    </w:p>
    <w:p w:rsidR="00EA57E1" w:rsidRDefault="00EA57E1" w:rsidP="00263250">
      <w:pPr>
        <w:spacing w:line="360" w:lineRule="auto"/>
      </w:pPr>
    </w:p>
    <w:p w:rsidR="009E558F" w:rsidRDefault="009E558F" w:rsidP="00263250">
      <w:pPr>
        <w:spacing w:line="360" w:lineRule="auto"/>
      </w:pPr>
    </w:p>
    <w:p w:rsidR="009E558F" w:rsidRDefault="009E558F">
      <w:pPr>
        <w:pStyle w:val="Ttulo2"/>
        <w:ind w:left="0"/>
      </w:pPr>
      <w:r>
        <w:t>INFORME  DE AUDITORIA</w:t>
      </w:r>
    </w:p>
    <w:p w:rsidR="009E558F" w:rsidRDefault="009E558F">
      <w:pPr>
        <w:spacing w:line="360" w:lineRule="auto"/>
        <w:ind w:left="360" w:hanging="360"/>
        <w:jc w:val="both"/>
        <w:rPr>
          <w:b/>
          <w:bCs/>
        </w:rPr>
      </w:pPr>
    </w:p>
    <w:p w:rsidR="009E558F" w:rsidRDefault="009E558F" w:rsidP="009E558F">
      <w:pPr>
        <w:pStyle w:val="Sangra3detindependiente"/>
        <w:ind w:left="0" w:firstLine="851"/>
      </w:pPr>
      <w:r>
        <w:t>El Tribunal de Cuentas procedió a realizar una evaluación del sistema de control interno en diversas áreas de la Facultad de Veterinaria así como del cumplimiento de las normas legales vigentes. El examen se realizó de conformidad con las normas emitidas por la Organización Internacional de Entidades Fiscalizadoras Superiores (INTOSAI).</w:t>
      </w:r>
    </w:p>
    <w:p w:rsidR="009E558F" w:rsidRDefault="009E558F" w:rsidP="009E558F">
      <w:pPr>
        <w:pStyle w:val="Sangra3detindependiente"/>
        <w:ind w:left="0" w:firstLine="851"/>
      </w:pPr>
      <w:r>
        <w:lastRenderedPageBreak/>
        <w:t>Se detallan a continuación las situaciones constatadas y las principales recomendaciones que deberá atender el Organismo.</w:t>
      </w:r>
    </w:p>
    <w:p w:rsidR="009E558F" w:rsidRDefault="009E558F">
      <w:pPr>
        <w:spacing w:line="360" w:lineRule="auto"/>
        <w:ind w:left="360" w:hanging="360"/>
        <w:jc w:val="both"/>
        <w:rPr>
          <w:b/>
          <w:bCs/>
        </w:rPr>
      </w:pPr>
    </w:p>
    <w:p w:rsidR="009E558F" w:rsidRDefault="009E558F">
      <w:pPr>
        <w:spacing w:line="360" w:lineRule="auto"/>
        <w:ind w:left="360" w:hanging="360"/>
        <w:jc w:val="both"/>
        <w:rPr>
          <w:b/>
        </w:rPr>
      </w:pPr>
      <w:r>
        <w:rPr>
          <w:b/>
          <w:bCs/>
        </w:rPr>
        <w:t>CONSTATACIONES</w:t>
      </w:r>
      <w:r>
        <w:rPr>
          <w:b/>
        </w:rPr>
        <w:t xml:space="preserve"> </w:t>
      </w:r>
    </w:p>
    <w:p w:rsidR="009E558F" w:rsidRDefault="009E558F">
      <w:pPr>
        <w:spacing w:line="360" w:lineRule="auto"/>
        <w:ind w:left="360" w:hanging="357"/>
        <w:jc w:val="both"/>
        <w:rPr>
          <w:b/>
        </w:rPr>
      </w:pPr>
      <w:r>
        <w:rPr>
          <w:b/>
        </w:rPr>
        <w:t>En relación a la estructura administrativa</w:t>
      </w:r>
    </w:p>
    <w:p w:rsidR="009E558F" w:rsidRDefault="009E558F" w:rsidP="009E558F">
      <w:pPr>
        <w:pStyle w:val="Textoindependiente"/>
        <w:numPr>
          <w:ilvl w:val="0"/>
          <w:numId w:val="1"/>
        </w:numPr>
        <w:tabs>
          <w:tab w:val="left" w:pos="450"/>
        </w:tabs>
        <w:spacing w:line="360" w:lineRule="auto"/>
      </w:pPr>
      <w:r>
        <w:t xml:space="preserve">El Departamento Contable depende jerárquicamente de la División de Secretaría siendo que no existe dependencia técnica ni funcional entre ese Departamento y la referida División. </w:t>
      </w:r>
    </w:p>
    <w:p w:rsidR="009E558F" w:rsidRDefault="009E558F">
      <w:pPr>
        <w:pStyle w:val="Textoindependiente"/>
        <w:tabs>
          <w:tab w:val="left" w:pos="450"/>
        </w:tabs>
        <w:spacing w:line="360" w:lineRule="auto"/>
        <w:ind w:left="720"/>
      </w:pPr>
    </w:p>
    <w:p w:rsidR="009E558F" w:rsidRDefault="009E558F" w:rsidP="009E558F">
      <w:pPr>
        <w:pStyle w:val="Textoindependiente"/>
        <w:numPr>
          <w:ilvl w:val="0"/>
          <w:numId w:val="1"/>
        </w:numPr>
        <w:tabs>
          <w:tab w:val="left" w:pos="450"/>
        </w:tabs>
        <w:spacing w:line="360" w:lineRule="auto"/>
      </w:pPr>
      <w:r>
        <w:t>La Facultad establece los funcionarios responsables de la ejecución del presupuesto asignado a cada cátedra. El último listado de esos funcionarios responsables fue considerado por el Consejo de la Facultad de Veterinaria en Sesión del 23 de junio de 2011, oportunidad en que tomó conocimiento del mismo, no existiendo actualizaciones posteriores a esa fecha cuando efectivamente hubo modificaciones.</w:t>
      </w:r>
    </w:p>
    <w:p w:rsidR="009E558F" w:rsidRDefault="009E558F">
      <w:pPr>
        <w:spacing w:line="360" w:lineRule="auto"/>
        <w:ind w:left="360"/>
        <w:jc w:val="both"/>
      </w:pPr>
    </w:p>
    <w:p w:rsidR="009E558F" w:rsidRDefault="009E558F">
      <w:pPr>
        <w:spacing w:line="360" w:lineRule="auto"/>
        <w:jc w:val="both"/>
        <w:rPr>
          <w:b/>
          <w:bCs/>
        </w:rPr>
      </w:pPr>
      <w:r>
        <w:rPr>
          <w:b/>
          <w:bCs/>
        </w:rPr>
        <w:t>En relación a la liquidación de haberes</w:t>
      </w:r>
    </w:p>
    <w:p w:rsidR="009E558F" w:rsidRDefault="009E558F" w:rsidP="009E558F">
      <w:pPr>
        <w:pStyle w:val="Sangradetextonormal"/>
        <w:numPr>
          <w:ilvl w:val="0"/>
          <w:numId w:val="1"/>
        </w:numPr>
        <w:spacing w:line="360" w:lineRule="auto"/>
      </w:pPr>
      <w:r>
        <w:t xml:space="preserve">La Facultad de Veterinaria emite los recibos de sueldos de sus funcionarios en una sola vía que es entregada al trabajador si éste la solicita. No se conserva copia del recibo emitido y firmado por el funcionario como constancia del cobro realizado. </w:t>
      </w:r>
    </w:p>
    <w:p w:rsidR="009E558F" w:rsidRDefault="009E558F">
      <w:pPr>
        <w:spacing w:line="360" w:lineRule="auto"/>
        <w:jc w:val="both"/>
      </w:pPr>
    </w:p>
    <w:p w:rsidR="009E558F" w:rsidRDefault="009E558F" w:rsidP="009E558F">
      <w:pPr>
        <w:pStyle w:val="Textoindependiente"/>
        <w:numPr>
          <w:ilvl w:val="0"/>
          <w:numId w:val="1"/>
        </w:numPr>
        <w:spacing w:line="360" w:lineRule="auto"/>
      </w:pPr>
      <w:r>
        <w:t>No existe un detalle individual ordenado de los haberes mensuales liquidados y abonados. Se conserva un listado emitido por SECIU (Servicio Central de Informática de la UDELAR) que resulta de difícil comprensión. No separa haberes de descuentos, no está claramente asociado cada concepto de haber ni de descuento con el importe respectivo.</w:t>
      </w:r>
    </w:p>
    <w:p w:rsidR="009E558F" w:rsidRDefault="009E558F">
      <w:pPr>
        <w:spacing w:line="360" w:lineRule="auto"/>
        <w:jc w:val="both"/>
      </w:pPr>
    </w:p>
    <w:p w:rsidR="009E558F" w:rsidRDefault="009E558F">
      <w:pPr>
        <w:spacing w:line="360" w:lineRule="auto"/>
        <w:jc w:val="both"/>
        <w:rPr>
          <w:b/>
          <w:bCs/>
        </w:rPr>
      </w:pPr>
      <w:r>
        <w:rPr>
          <w:b/>
          <w:bCs/>
        </w:rPr>
        <w:lastRenderedPageBreak/>
        <w:t>En relación a la liquidación de horas extras</w:t>
      </w:r>
    </w:p>
    <w:p w:rsidR="009E558F" w:rsidRDefault="009E558F" w:rsidP="009E558F">
      <w:pPr>
        <w:numPr>
          <w:ilvl w:val="0"/>
          <w:numId w:val="1"/>
        </w:numPr>
        <w:spacing w:line="360" w:lineRule="auto"/>
        <w:jc w:val="both"/>
      </w:pPr>
      <w:r>
        <w:t>Se constató que se solicitan las horas una vez que las mismas comenzaron a ejecutarse y además se autorizan las mismas con posterioridad a su realización. Lo anterior contraviene lo establecido en los Artículos 1 y 2 de la Reglamentación sobre autorización y pago de horas extras que integra la Compilación de Normas Relacionadas con la Administración de Personal de la Universidad de la República. Las referidas normas establecen que las horas extras deben ser solicitadas con anticipación suficiente y  realizadas una vez que fueron autorizadas.</w:t>
      </w:r>
    </w:p>
    <w:p w:rsidR="009E558F" w:rsidRDefault="009E558F">
      <w:pPr>
        <w:spacing w:line="360" w:lineRule="auto"/>
        <w:jc w:val="both"/>
      </w:pPr>
    </w:p>
    <w:p w:rsidR="009E558F" w:rsidRDefault="009E558F" w:rsidP="009E558F">
      <w:pPr>
        <w:numPr>
          <w:ilvl w:val="0"/>
          <w:numId w:val="1"/>
        </w:numPr>
        <w:spacing w:line="360" w:lineRule="auto"/>
        <w:jc w:val="both"/>
      </w:pPr>
      <w:r>
        <w:t xml:space="preserve">Se constató además que las respectivas solicitudes y resoluciones de autorización de horas extras no dan cumplimiento a los requisitos  previstos en los Artículos 2 y 3 de la referida reglamentación. De acuerdo con los mismos, en las solicitudes de horas extras se debe fundamentar la necesidad de realizar las mismas y se debe indicar claramente el período en que van a realizarse. La reglamentación prevé además que en las resoluciones de autorización se deben establecer los fundamentos de las mismas, el período estimado de cumplimiento y detallar la financiación. </w:t>
      </w:r>
    </w:p>
    <w:p w:rsidR="009E558F" w:rsidRDefault="009E558F">
      <w:pPr>
        <w:spacing w:line="360" w:lineRule="auto"/>
        <w:jc w:val="both"/>
      </w:pPr>
    </w:p>
    <w:p w:rsidR="009E558F" w:rsidRDefault="009E558F" w:rsidP="009E558F">
      <w:pPr>
        <w:numPr>
          <w:ilvl w:val="0"/>
          <w:numId w:val="1"/>
        </w:numPr>
        <w:spacing w:line="360" w:lineRule="auto"/>
        <w:jc w:val="both"/>
      </w:pPr>
      <w:r>
        <w:t>No queda en los expedientes constancia de la respectiva notificación al funcionario lo que también está establecido en la referida normativa.</w:t>
      </w:r>
    </w:p>
    <w:p w:rsidR="009E558F" w:rsidRDefault="009E558F">
      <w:pPr>
        <w:spacing w:line="360" w:lineRule="auto"/>
        <w:jc w:val="both"/>
      </w:pPr>
    </w:p>
    <w:p w:rsidR="009E558F" w:rsidRDefault="009E558F" w:rsidP="009E558F">
      <w:pPr>
        <w:numPr>
          <w:ilvl w:val="0"/>
          <w:numId w:val="1"/>
        </w:numPr>
        <w:spacing w:line="360" w:lineRule="auto"/>
        <w:jc w:val="both"/>
      </w:pPr>
      <w:r>
        <w:t xml:space="preserve">El gasto contenido en el Expediente 111140-001102-12  correspondiente a la realización de 16 horas extras mensuales durante el período 1º de abril al 30 de junio de 2012 para siete funcionarios de la Facultad fue liquidado y  abonado sin la firma de la </w:t>
      </w:r>
      <w:r>
        <w:lastRenderedPageBreak/>
        <w:t>Sra. Directora de División ni de la  Sra. Decana, incumpliendo lo establecido en el Artículo 14 del TOCAF.</w:t>
      </w:r>
    </w:p>
    <w:p w:rsidR="009E558F" w:rsidRDefault="009E558F">
      <w:pPr>
        <w:jc w:val="both"/>
      </w:pPr>
    </w:p>
    <w:p w:rsidR="009E558F" w:rsidRDefault="009E558F">
      <w:pPr>
        <w:jc w:val="both"/>
      </w:pPr>
    </w:p>
    <w:p w:rsidR="009E558F" w:rsidRDefault="009E558F">
      <w:pPr>
        <w:spacing w:line="360" w:lineRule="auto"/>
        <w:jc w:val="both"/>
        <w:rPr>
          <w:b/>
          <w:bCs/>
        </w:rPr>
      </w:pPr>
      <w:r>
        <w:rPr>
          <w:b/>
          <w:bCs/>
        </w:rPr>
        <w:t>En relación al control de la partida de gastos otorgada a docentes con dedicación total.</w:t>
      </w:r>
    </w:p>
    <w:p w:rsidR="009E558F" w:rsidRDefault="009E558F" w:rsidP="009E558F">
      <w:pPr>
        <w:pStyle w:val="Textoindependiente"/>
        <w:numPr>
          <w:ilvl w:val="0"/>
          <w:numId w:val="1"/>
        </w:numPr>
        <w:spacing w:line="360" w:lineRule="auto"/>
      </w:pPr>
      <w:r>
        <w:t>El Artículo 57 del Estatuto del Personal Docente de la Universidad de la República establece que anualmente se asignará a cada docente con dedicación total opcional u obligatoria una partida para gastos sin establecer qué gastos se encuentran comprendidos. En razón de lo anterior, no existe un criterio objetivo y uniforme que permita determinar qué gastos pueden atenderse con la misma.</w:t>
      </w:r>
    </w:p>
    <w:p w:rsidR="009E558F" w:rsidRDefault="009E558F">
      <w:pPr>
        <w:pStyle w:val="Textoindependiente"/>
        <w:spacing w:line="360" w:lineRule="auto"/>
        <w:ind w:left="360"/>
      </w:pPr>
      <w:r>
        <w:t xml:space="preserve"> </w:t>
      </w:r>
    </w:p>
    <w:p w:rsidR="009E558F" w:rsidRDefault="009E558F" w:rsidP="009E558F">
      <w:pPr>
        <w:pStyle w:val="Textoindependiente"/>
        <w:numPr>
          <w:ilvl w:val="0"/>
          <w:numId w:val="1"/>
        </w:numPr>
        <w:spacing w:line="360" w:lineRule="auto"/>
      </w:pPr>
      <w:r>
        <w:t xml:space="preserve">No se da cumplimiento al plazo de Rendición de Cuentas previsto por el Artículo 132 del TOCAF y se contraviene lo establecido en el Artículo 416 de la Ley 17.930 que establece que no podrán adelantarse fondos a personas físicas o jurídicas que no hayan presentado las rendiciones de cuentas de las partidas percibidas con anterioridad. </w:t>
      </w:r>
    </w:p>
    <w:p w:rsidR="009E558F" w:rsidRDefault="009E558F">
      <w:pPr>
        <w:spacing w:line="360" w:lineRule="auto"/>
        <w:jc w:val="both"/>
        <w:rPr>
          <w:b/>
          <w:bCs/>
        </w:rPr>
      </w:pPr>
    </w:p>
    <w:p w:rsidR="009E558F" w:rsidRDefault="009E558F" w:rsidP="009E558F">
      <w:pPr>
        <w:pStyle w:val="Textoindependiente"/>
        <w:numPr>
          <w:ilvl w:val="0"/>
          <w:numId w:val="1"/>
        </w:numPr>
        <w:spacing w:line="360" w:lineRule="auto"/>
      </w:pPr>
      <w:r>
        <w:t>En las rendiciones presentadas no existe constancia del control realizado sobre las mismas, los comprobantes carecen de sello o identificación alguna de la que surja que fueron controlados por la oficina correspondiente.</w:t>
      </w:r>
    </w:p>
    <w:p w:rsidR="009E558F" w:rsidRDefault="009E558F" w:rsidP="009E558F">
      <w:pPr>
        <w:pStyle w:val="Prrafodelista"/>
      </w:pPr>
    </w:p>
    <w:p w:rsidR="009E558F" w:rsidRDefault="009E558F" w:rsidP="009E558F">
      <w:pPr>
        <w:pStyle w:val="Textoindependiente"/>
        <w:spacing w:line="360" w:lineRule="auto"/>
        <w:ind w:left="1080"/>
      </w:pPr>
    </w:p>
    <w:p w:rsidR="009E558F" w:rsidRDefault="009E558F" w:rsidP="009E558F">
      <w:pPr>
        <w:pStyle w:val="Textoindependiente"/>
        <w:numPr>
          <w:ilvl w:val="0"/>
          <w:numId w:val="1"/>
        </w:numPr>
        <w:spacing w:line="360" w:lineRule="auto"/>
      </w:pPr>
      <w:r>
        <w:t>Las partidas pendientes de rendición no están siendo incluidas en el cálculo del ajuste anual de IRPF previsto en el Artículo 64 del Decreto 148/07 que reglamenta la Ley 18.083.</w:t>
      </w:r>
    </w:p>
    <w:p w:rsidR="009E558F" w:rsidRDefault="009E558F">
      <w:pPr>
        <w:tabs>
          <w:tab w:val="left" w:pos="450"/>
        </w:tabs>
        <w:spacing w:line="360" w:lineRule="auto"/>
        <w:ind w:left="720"/>
        <w:jc w:val="both"/>
      </w:pPr>
    </w:p>
    <w:p w:rsidR="009E558F" w:rsidRDefault="009E558F">
      <w:pPr>
        <w:pStyle w:val="Ttulo1"/>
        <w:jc w:val="left"/>
      </w:pPr>
      <w:r>
        <w:lastRenderedPageBreak/>
        <w:t>En relación a la liquidación y pago de viáticos</w:t>
      </w:r>
    </w:p>
    <w:p w:rsidR="009E558F" w:rsidRDefault="009E558F"/>
    <w:p w:rsidR="009E558F" w:rsidRDefault="009E558F" w:rsidP="009E558F">
      <w:pPr>
        <w:pStyle w:val="Textoindependiente"/>
        <w:numPr>
          <w:ilvl w:val="0"/>
          <w:numId w:val="1"/>
        </w:numPr>
        <w:spacing w:line="360" w:lineRule="auto"/>
      </w:pPr>
      <w:r>
        <w:t xml:space="preserve">Durante el Ejercicio 2012 la Facultad ha abonado viáticos al Interior del país, los que fueron liquidados y abonados sin la constancia de autorización por parte del Ordenador competente. </w:t>
      </w:r>
    </w:p>
    <w:p w:rsidR="009E558F" w:rsidRDefault="009E558F">
      <w:pPr>
        <w:spacing w:line="360" w:lineRule="auto"/>
        <w:jc w:val="both"/>
        <w:rPr>
          <w:b/>
          <w:bCs/>
        </w:rPr>
      </w:pPr>
    </w:p>
    <w:p w:rsidR="009E558F" w:rsidRDefault="009E558F">
      <w:pPr>
        <w:spacing w:line="360" w:lineRule="auto"/>
        <w:jc w:val="both"/>
        <w:rPr>
          <w:b/>
          <w:bCs/>
        </w:rPr>
      </w:pPr>
      <w:r>
        <w:rPr>
          <w:b/>
          <w:bCs/>
        </w:rPr>
        <w:t>RECOMENDACIONES</w:t>
      </w:r>
    </w:p>
    <w:p w:rsidR="009E558F" w:rsidRDefault="009E558F">
      <w:pPr>
        <w:spacing w:line="360" w:lineRule="auto"/>
        <w:jc w:val="both"/>
        <w:rPr>
          <w:b/>
          <w:bCs/>
        </w:rPr>
      </w:pPr>
    </w:p>
    <w:p w:rsidR="009E558F" w:rsidRDefault="009E558F" w:rsidP="009E558F">
      <w:pPr>
        <w:pStyle w:val="Textoindependiente"/>
        <w:numPr>
          <w:ilvl w:val="0"/>
          <w:numId w:val="2"/>
        </w:numPr>
        <w:spacing w:line="360" w:lineRule="auto"/>
      </w:pPr>
      <w:r>
        <w:t>El Departamento de Contaduría debe ser redefinido como una División que dependa directamente del Decano, debido a la independencia técnica que mantiene con respecto a la División Secretaría de la que depende actualmente.</w:t>
      </w:r>
    </w:p>
    <w:p w:rsidR="009E558F" w:rsidRDefault="009E558F">
      <w:pPr>
        <w:pStyle w:val="Textoindependiente"/>
        <w:spacing w:line="360" w:lineRule="auto"/>
        <w:ind w:left="720"/>
      </w:pPr>
    </w:p>
    <w:p w:rsidR="009E558F" w:rsidRDefault="009E558F" w:rsidP="009E558F">
      <w:pPr>
        <w:numPr>
          <w:ilvl w:val="0"/>
          <w:numId w:val="2"/>
        </w:numPr>
        <w:spacing w:line="360" w:lineRule="auto"/>
        <w:jc w:val="both"/>
      </w:pPr>
      <w:r>
        <w:t>La Facultad debe mantener actualizado el listado de funcionarios responsables de la ejecución del presupuesto asignado y el mismo debe ser remitido periódicamente a conocimiento y consideración del Consejo de Facultad.</w:t>
      </w:r>
    </w:p>
    <w:p w:rsidR="009E558F" w:rsidRDefault="009E558F">
      <w:pPr>
        <w:pStyle w:val="Textoindependiente"/>
        <w:spacing w:line="360" w:lineRule="auto"/>
      </w:pPr>
    </w:p>
    <w:p w:rsidR="009E558F" w:rsidRPr="00F2241F" w:rsidRDefault="009E558F" w:rsidP="009E558F">
      <w:pPr>
        <w:pStyle w:val="Textoindependiente"/>
        <w:numPr>
          <w:ilvl w:val="0"/>
          <w:numId w:val="2"/>
        </w:numPr>
        <w:spacing w:line="360" w:lineRule="auto"/>
        <w:rPr>
          <w:b/>
          <w:bCs/>
        </w:rPr>
      </w:pPr>
      <w:r>
        <w:t>La Facultad debe conservar copia (en papel o medios electrónicos) del recibo de sueldo emitido a cada funcionario.</w:t>
      </w:r>
    </w:p>
    <w:p w:rsidR="009E558F" w:rsidRDefault="009E558F" w:rsidP="009E558F">
      <w:pPr>
        <w:pStyle w:val="Prrafodelista"/>
        <w:rPr>
          <w:b/>
          <w:bCs/>
        </w:rPr>
      </w:pPr>
    </w:p>
    <w:p w:rsidR="009E558F" w:rsidRDefault="009E558F" w:rsidP="009E558F">
      <w:pPr>
        <w:pStyle w:val="Textoindependiente2"/>
        <w:numPr>
          <w:ilvl w:val="0"/>
          <w:numId w:val="2"/>
        </w:numPr>
        <w:spacing w:line="360" w:lineRule="auto"/>
        <w:rPr>
          <w:b w:val="0"/>
          <w:bCs w:val="0"/>
        </w:rPr>
      </w:pPr>
      <w:r>
        <w:rPr>
          <w:b w:val="0"/>
          <w:bCs w:val="0"/>
        </w:rPr>
        <w:t>El listado de respaldo de la liquidación de haberes debe diseñarse de modo que facilite su comprensión, separando haberes de descuentos y asociando cada concepto con el importe correspondiente.</w:t>
      </w:r>
    </w:p>
    <w:p w:rsidR="009E558F" w:rsidRDefault="009E558F">
      <w:pPr>
        <w:spacing w:line="360" w:lineRule="auto"/>
        <w:jc w:val="both"/>
      </w:pPr>
    </w:p>
    <w:p w:rsidR="009E558F" w:rsidRDefault="009E558F" w:rsidP="009E558F">
      <w:pPr>
        <w:numPr>
          <w:ilvl w:val="0"/>
          <w:numId w:val="2"/>
        </w:numPr>
        <w:spacing w:line="360" w:lineRule="auto"/>
        <w:jc w:val="both"/>
      </w:pPr>
      <w:r>
        <w:t xml:space="preserve">Debe darse cumplimiento a lo establecido en los Artículos 1 y 2 de la Reglamentación sobre autorización y pago de horas extras que integra la Compilación de Normas Relacionadas con la Administración de Personal de la Universidad de la República que establece que las mismas sean solicitadas con anticipación </w:t>
      </w:r>
      <w:r>
        <w:lastRenderedPageBreak/>
        <w:t>suficiente. Asimismo las horas extras deben comenzar a realizarse una vez que cuenten con la debida autorización.</w:t>
      </w:r>
    </w:p>
    <w:p w:rsidR="009E558F" w:rsidRDefault="009E558F">
      <w:pPr>
        <w:spacing w:line="360" w:lineRule="auto"/>
        <w:jc w:val="both"/>
      </w:pPr>
    </w:p>
    <w:p w:rsidR="009E558F" w:rsidRDefault="009E558F" w:rsidP="009E558F">
      <w:pPr>
        <w:numPr>
          <w:ilvl w:val="0"/>
          <w:numId w:val="2"/>
        </w:numPr>
        <w:spacing w:line="360" w:lineRule="auto"/>
        <w:jc w:val="both"/>
      </w:pPr>
      <w:r>
        <w:t>De acuerdo con la normativa vigente, en las respectivas solicitudes de autorización de horas extras debe fundamentarse la necesidad de la realización de las mismas, estableciendo el período en que se desarrollarán, proponiendo los nombres procurando un desempeño rotativo. Las resoluciones deben contener el fundamento de la autorización, establecer la jornada de trabajo, el período estimado de cumplimiento y el nombre de los funcionarios. (Artículos 3 y 4 de la citada Reglamentación).</w:t>
      </w:r>
    </w:p>
    <w:p w:rsidR="009E558F" w:rsidRDefault="009E558F">
      <w:pPr>
        <w:spacing w:line="360" w:lineRule="auto"/>
        <w:jc w:val="both"/>
      </w:pPr>
    </w:p>
    <w:p w:rsidR="009E558F" w:rsidRDefault="009E558F" w:rsidP="009E558F">
      <w:pPr>
        <w:numPr>
          <w:ilvl w:val="0"/>
          <w:numId w:val="2"/>
        </w:numPr>
        <w:spacing w:line="360" w:lineRule="auto"/>
        <w:jc w:val="both"/>
      </w:pPr>
      <w:r>
        <w:t>En todos los casos debe notificarse al funcionario.</w:t>
      </w:r>
    </w:p>
    <w:p w:rsidR="009E558F" w:rsidRDefault="009E558F">
      <w:pPr>
        <w:spacing w:line="360" w:lineRule="auto"/>
        <w:jc w:val="both"/>
      </w:pPr>
    </w:p>
    <w:p w:rsidR="009E558F" w:rsidRDefault="009E558F" w:rsidP="009E558F">
      <w:pPr>
        <w:numPr>
          <w:ilvl w:val="0"/>
          <w:numId w:val="2"/>
        </w:numPr>
        <w:spacing w:line="360" w:lineRule="auto"/>
        <w:jc w:val="both"/>
      </w:pPr>
      <w:r>
        <w:t>La facultad debe tomar las medidas que le permitan asegurarse que no se dé curso a expedientes que no contengan las correspondientes autorizaciones.</w:t>
      </w:r>
    </w:p>
    <w:p w:rsidR="009E558F" w:rsidRDefault="009E558F">
      <w:pPr>
        <w:spacing w:line="360" w:lineRule="auto"/>
        <w:jc w:val="both"/>
      </w:pPr>
    </w:p>
    <w:p w:rsidR="009E558F" w:rsidRDefault="009E558F" w:rsidP="009E558F">
      <w:pPr>
        <w:numPr>
          <w:ilvl w:val="0"/>
          <w:numId w:val="2"/>
        </w:numPr>
        <w:spacing w:line="360" w:lineRule="auto"/>
        <w:jc w:val="both"/>
      </w:pPr>
      <w:r>
        <w:t xml:space="preserve">La Universidad de la República debe establecer con precisión los gastos que pueden atenderse con la partida prevista en el Artículo 57 del Estatuto del personal docente. </w:t>
      </w:r>
    </w:p>
    <w:p w:rsidR="009E558F" w:rsidRDefault="009E558F">
      <w:pPr>
        <w:spacing w:line="360" w:lineRule="auto"/>
        <w:jc w:val="both"/>
      </w:pPr>
    </w:p>
    <w:p w:rsidR="009E558F" w:rsidRDefault="009E558F" w:rsidP="009E558F">
      <w:pPr>
        <w:numPr>
          <w:ilvl w:val="0"/>
          <w:numId w:val="2"/>
        </w:numPr>
        <w:spacing w:line="360" w:lineRule="auto"/>
        <w:jc w:val="both"/>
      </w:pPr>
      <w:r>
        <w:t>El párrafo final del Artículo 132 del TOCAF dispone que podrán establecerse excepciones al plazo general de Rendición de Cuentas previsto en el mismo Artículo. En ese marco, la Universidad de la República debe generar la normativa específica que permita contemplar la rendición de la partida de referencia.</w:t>
      </w:r>
    </w:p>
    <w:p w:rsidR="009E558F" w:rsidRDefault="009E558F">
      <w:pPr>
        <w:spacing w:line="360" w:lineRule="auto"/>
        <w:jc w:val="both"/>
      </w:pPr>
    </w:p>
    <w:p w:rsidR="009E558F" w:rsidRDefault="009E558F" w:rsidP="009E558F">
      <w:pPr>
        <w:numPr>
          <w:ilvl w:val="0"/>
          <w:numId w:val="2"/>
        </w:numPr>
        <w:spacing w:line="360" w:lineRule="auto"/>
        <w:jc w:val="both"/>
      </w:pPr>
      <w:r>
        <w:lastRenderedPageBreak/>
        <w:t xml:space="preserve">En oportunidad de controlar las rendiciones de cuentas, la oficina encargada de realizar el referido control, debe dejar constancia de la actuación realizada en los comprobantes revisados. </w:t>
      </w:r>
    </w:p>
    <w:p w:rsidR="009E558F" w:rsidRDefault="009E558F">
      <w:pPr>
        <w:spacing w:line="360" w:lineRule="auto"/>
        <w:jc w:val="both"/>
      </w:pPr>
    </w:p>
    <w:p w:rsidR="009E558F" w:rsidRDefault="009E558F" w:rsidP="009E558F">
      <w:pPr>
        <w:numPr>
          <w:ilvl w:val="0"/>
          <w:numId w:val="2"/>
        </w:numPr>
        <w:spacing w:line="360" w:lineRule="auto"/>
        <w:jc w:val="both"/>
      </w:pPr>
      <w:r>
        <w:t>Al realizar el ajuste anual de IRPF previsto en el Artículo 64 del Decreto 148/27 se deben incluir las partidas pendientes de rendición en la determinación del monto imponible anual.</w:t>
      </w:r>
    </w:p>
    <w:p w:rsidR="009E558F" w:rsidRDefault="009E558F">
      <w:pPr>
        <w:spacing w:line="360" w:lineRule="auto"/>
        <w:jc w:val="both"/>
      </w:pPr>
    </w:p>
    <w:p w:rsidR="009E558F" w:rsidRDefault="009E558F" w:rsidP="009E558F">
      <w:pPr>
        <w:pStyle w:val="Textoindependiente"/>
        <w:numPr>
          <w:ilvl w:val="0"/>
          <w:numId w:val="2"/>
        </w:numPr>
        <w:spacing w:line="360" w:lineRule="auto"/>
      </w:pPr>
      <w:r>
        <w:t>Se deben buscar los procedimientos administrativos que aseguren que no se liquiden y abonen viáticos que no cuenten con la constancia de autorización del Ordenador competente.</w:t>
      </w:r>
    </w:p>
    <w:p w:rsidR="009E558F" w:rsidRDefault="009E558F" w:rsidP="009E558F">
      <w:pPr>
        <w:pStyle w:val="Textoindependiente"/>
        <w:spacing w:line="360" w:lineRule="auto"/>
      </w:pPr>
      <w:proofErr w:type="spellStart"/>
      <w:proofErr w:type="gramStart"/>
      <w:r>
        <w:t>mp</w:t>
      </w:r>
      <w:proofErr w:type="spellEnd"/>
      <w:proofErr w:type="gramEnd"/>
    </w:p>
    <w:sectPr w:rsidR="009E558F" w:rsidSect="00FE5898">
      <w:footerReference w:type="default" r:id="rId8"/>
      <w:pgSz w:w="11906" w:h="16838" w:code="9"/>
      <w:pgMar w:top="3289"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58F" w:rsidRDefault="009E558F" w:rsidP="00EA57E1">
      <w:r>
        <w:separator/>
      </w:r>
    </w:p>
  </w:endnote>
  <w:endnote w:type="continuationSeparator" w:id="0">
    <w:p w:rsidR="009E558F" w:rsidRDefault="009E558F" w:rsidP="00EA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42952"/>
      <w:docPartObj>
        <w:docPartGallery w:val="Page Numbers (Bottom of Page)"/>
        <w:docPartUnique/>
      </w:docPartObj>
    </w:sdtPr>
    <w:sdtEndPr/>
    <w:sdtContent>
      <w:p w:rsidR="009E558F" w:rsidRDefault="009E558F">
        <w:pPr>
          <w:pStyle w:val="Piedepgina"/>
          <w:jc w:val="center"/>
        </w:pPr>
        <w:r>
          <w:fldChar w:fldCharType="begin"/>
        </w:r>
        <w:r>
          <w:instrText>PAGE   \* MERGEFORMAT</w:instrText>
        </w:r>
        <w:r>
          <w:fldChar w:fldCharType="separate"/>
        </w:r>
        <w:r w:rsidR="00F34BD0">
          <w:rPr>
            <w:noProof/>
          </w:rPr>
          <w:t>1</w:t>
        </w:r>
        <w:r>
          <w:fldChar w:fldCharType="end"/>
        </w:r>
      </w:p>
    </w:sdtContent>
  </w:sdt>
  <w:p w:rsidR="009E558F" w:rsidRDefault="009E55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58F" w:rsidRDefault="009E558F" w:rsidP="00EA57E1">
      <w:r>
        <w:separator/>
      </w:r>
    </w:p>
  </w:footnote>
  <w:footnote w:type="continuationSeparator" w:id="0">
    <w:p w:rsidR="009E558F" w:rsidRDefault="009E558F" w:rsidP="00EA5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F26"/>
    <w:multiLevelType w:val="hybridMultilevel"/>
    <w:tmpl w:val="0BA2CB3C"/>
    <w:lvl w:ilvl="0" w:tplc="61F8FA4E">
      <w:start w:val="1"/>
      <w:numFmt w:val="decimal"/>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1DDF3482"/>
    <w:multiLevelType w:val="hybridMultilevel"/>
    <w:tmpl w:val="5DD06DFC"/>
    <w:lvl w:ilvl="0" w:tplc="F8B24A98">
      <w:start w:val="1"/>
      <w:numFmt w:val="decimal"/>
      <w:lvlText w:val="%1."/>
      <w:lvlJc w:val="left"/>
      <w:pPr>
        <w:tabs>
          <w:tab w:val="num" w:pos="1080"/>
        </w:tabs>
        <w:ind w:left="108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50"/>
    <w:rsid w:val="000D73AB"/>
    <w:rsid w:val="00263250"/>
    <w:rsid w:val="004452A3"/>
    <w:rsid w:val="00662C4A"/>
    <w:rsid w:val="009E558F"/>
    <w:rsid w:val="00CF219E"/>
    <w:rsid w:val="00EA57E1"/>
    <w:rsid w:val="00F34BD0"/>
    <w:rsid w:val="00FE58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5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63250"/>
    <w:pPr>
      <w:keepNext/>
      <w:jc w:val="center"/>
      <w:outlineLvl w:val="0"/>
    </w:pPr>
    <w:rPr>
      <w:b/>
      <w:bCs/>
    </w:rPr>
  </w:style>
  <w:style w:type="paragraph" w:styleId="Ttulo2">
    <w:name w:val="heading 2"/>
    <w:basedOn w:val="Normal"/>
    <w:next w:val="Normal"/>
    <w:link w:val="Ttulo2Car"/>
    <w:qFormat/>
    <w:rsid w:val="009E558F"/>
    <w:pPr>
      <w:keepNext/>
      <w:spacing w:line="360" w:lineRule="auto"/>
      <w:ind w:left="360" w:hanging="36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3250"/>
    <w:rPr>
      <w:rFonts w:ascii="Arial" w:eastAsia="Times New Roman" w:hAnsi="Arial" w:cs="Times New Roman"/>
      <w:b/>
      <w:bCs/>
      <w:sz w:val="24"/>
      <w:szCs w:val="24"/>
      <w:lang w:val="es-ES" w:eastAsia="es-ES"/>
    </w:rPr>
  </w:style>
  <w:style w:type="paragraph" w:styleId="Ttulo">
    <w:name w:val="Title"/>
    <w:basedOn w:val="Normal"/>
    <w:link w:val="TtuloCar"/>
    <w:qFormat/>
    <w:rsid w:val="00263250"/>
    <w:pPr>
      <w:jc w:val="center"/>
    </w:pPr>
    <w:rPr>
      <w:b/>
      <w:bCs/>
    </w:rPr>
  </w:style>
  <w:style w:type="character" w:customStyle="1" w:styleId="TtuloCar">
    <w:name w:val="Título Car"/>
    <w:basedOn w:val="Fuentedeprrafopredeter"/>
    <w:link w:val="Ttulo"/>
    <w:rsid w:val="00263250"/>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263250"/>
    <w:pPr>
      <w:ind w:firstLine="1800"/>
      <w:jc w:val="both"/>
    </w:pPr>
  </w:style>
  <w:style w:type="character" w:customStyle="1" w:styleId="SangradetextonormalCar">
    <w:name w:val="Sangría de texto normal Car"/>
    <w:basedOn w:val="Fuentedeprrafopredeter"/>
    <w:link w:val="Sangradetextonormal"/>
    <w:semiHidden/>
    <w:rsid w:val="00263250"/>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263250"/>
    <w:pPr>
      <w:jc w:val="both"/>
    </w:pPr>
  </w:style>
  <w:style w:type="character" w:customStyle="1" w:styleId="TextoindependienteCar">
    <w:name w:val="Texto independiente Car"/>
    <w:basedOn w:val="Fuentedeprrafopredeter"/>
    <w:link w:val="Textoindependiente"/>
    <w:semiHidden/>
    <w:rsid w:val="00263250"/>
    <w:rPr>
      <w:rFonts w:ascii="Arial" w:eastAsia="Times New Roman" w:hAnsi="Arial" w:cs="Times New Roman"/>
      <w:sz w:val="24"/>
      <w:szCs w:val="24"/>
      <w:lang w:val="es-ES" w:eastAsia="es-ES"/>
    </w:rPr>
  </w:style>
  <w:style w:type="paragraph" w:styleId="Sangra2detindependiente">
    <w:name w:val="Body Text Indent 2"/>
    <w:basedOn w:val="Normal"/>
    <w:link w:val="Sangra2detindependienteCar"/>
    <w:semiHidden/>
    <w:rsid w:val="00263250"/>
    <w:pPr>
      <w:ind w:left="360" w:hanging="360"/>
    </w:pPr>
  </w:style>
  <w:style w:type="character" w:customStyle="1" w:styleId="Sangra2detindependienteCar">
    <w:name w:val="Sangría 2 de t. independiente Car"/>
    <w:basedOn w:val="Fuentedeprrafopredeter"/>
    <w:link w:val="Sangra2detindependiente"/>
    <w:semiHidden/>
    <w:rsid w:val="00263250"/>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EA57E1"/>
    <w:pPr>
      <w:tabs>
        <w:tab w:val="center" w:pos="4252"/>
        <w:tab w:val="right" w:pos="8504"/>
      </w:tabs>
    </w:pPr>
  </w:style>
  <w:style w:type="character" w:customStyle="1" w:styleId="EncabezadoCar">
    <w:name w:val="Encabezado Car"/>
    <w:basedOn w:val="Fuentedeprrafopredeter"/>
    <w:link w:val="Encabezado"/>
    <w:uiPriority w:val="99"/>
    <w:rsid w:val="00EA57E1"/>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A57E1"/>
    <w:pPr>
      <w:tabs>
        <w:tab w:val="center" w:pos="4252"/>
        <w:tab w:val="right" w:pos="8504"/>
      </w:tabs>
    </w:pPr>
  </w:style>
  <w:style w:type="character" w:customStyle="1" w:styleId="PiedepginaCar">
    <w:name w:val="Pie de página Car"/>
    <w:basedOn w:val="Fuentedeprrafopredeter"/>
    <w:link w:val="Piedepgina"/>
    <w:uiPriority w:val="99"/>
    <w:rsid w:val="00EA57E1"/>
    <w:rPr>
      <w:rFonts w:ascii="Arial" w:eastAsia="Times New Roman" w:hAnsi="Arial" w:cs="Times New Roman"/>
      <w:sz w:val="24"/>
      <w:szCs w:val="24"/>
      <w:lang w:val="es-ES" w:eastAsia="es-ES"/>
    </w:rPr>
  </w:style>
  <w:style w:type="character" w:customStyle="1" w:styleId="Ttulo2Car">
    <w:name w:val="Título 2 Car"/>
    <w:basedOn w:val="Fuentedeprrafopredeter"/>
    <w:link w:val="Ttulo2"/>
    <w:rsid w:val="009E558F"/>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semiHidden/>
    <w:rsid w:val="009E558F"/>
    <w:pPr>
      <w:jc w:val="both"/>
    </w:pPr>
    <w:rPr>
      <w:b/>
      <w:bCs/>
    </w:rPr>
  </w:style>
  <w:style w:type="character" w:customStyle="1" w:styleId="Textoindependiente2Car">
    <w:name w:val="Texto independiente 2 Car"/>
    <w:basedOn w:val="Fuentedeprrafopredeter"/>
    <w:link w:val="Textoindependiente2"/>
    <w:semiHidden/>
    <w:rsid w:val="009E558F"/>
    <w:rPr>
      <w:rFonts w:ascii="Arial" w:eastAsia="Times New Roman" w:hAnsi="Arial" w:cs="Times New Roman"/>
      <w:b/>
      <w:bCs/>
      <w:sz w:val="24"/>
      <w:szCs w:val="24"/>
      <w:lang w:val="es-ES" w:eastAsia="es-ES"/>
    </w:rPr>
  </w:style>
  <w:style w:type="paragraph" w:styleId="Sangra3detindependiente">
    <w:name w:val="Body Text Indent 3"/>
    <w:basedOn w:val="Normal"/>
    <w:link w:val="Sangra3detindependienteCar"/>
    <w:semiHidden/>
    <w:rsid w:val="009E558F"/>
    <w:pPr>
      <w:spacing w:line="360" w:lineRule="auto"/>
      <w:ind w:left="360" w:hanging="360"/>
      <w:jc w:val="both"/>
    </w:pPr>
  </w:style>
  <w:style w:type="character" w:customStyle="1" w:styleId="Sangra3detindependienteCar">
    <w:name w:val="Sangría 3 de t. independiente Car"/>
    <w:basedOn w:val="Fuentedeprrafopredeter"/>
    <w:link w:val="Sangra3detindependiente"/>
    <w:semiHidden/>
    <w:rsid w:val="009E558F"/>
    <w:rPr>
      <w:rFonts w:ascii="Arial" w:eastAsia="Times New Roman" w:hAnsi="Arial" w:cs="Times New Roman"/>
      <w:sz w:val="24"/>
      <w:szCs w:val="24"/>
      <w:lang w:val="es-ES" w:eastAsia="es-ES"/>
    </w:rPr>
  </w:style>
  <w:style w:type="paragraph" w:styleId="Prrafodelista">
    <w:name w:val="List Paragraph"/>
    <w:basedOn w:val="Normal"/>
    <w:uiPriority w:val="34"/>
    <w:qFormat/>
    <w:rsid w:val="009E558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5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63250"/>
    <w:pPr>
      <w:keepNext/>
      <w:jc w:val="center"/>
      <w:outlineLvl w:val="0"/>
    </w:pPr>
    <w:rPr>
      <w:b/>
      <w:bCs/>
    </w:rPr>
  </w:style>
  <w:style w:type="paragraph" w:styleId="Ttulo2">
    <w:name w:val="heading 2"/>
    <w:basedOn w:val="Normal"/>
    <w:next w:val="Normal"/>
    <w:link w:val="Ttulo2Car"/>
    <w:qFormat/>
    <w:rsid w:val="009E558F"/>
    <w:pPr>
      <w:keepNext/>
      <w:spacing w:line="360" w:lineRule="auto"/>
      <w:ind w:left="360" w:hanging="36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3250"/>
    <w:rPr>
      <w:rFonts w:ascii="Arial" w:eastAsia="Times New Roman" w:hAnsi="Arial" w:cs="Times New Roman"/>
      <w:b/>
      <w:bCs/>
      <w:sz w:val="24"/>
      <w:szCs w:val="24"/>
      <w:lang w:val="es-ES" w:eastAsia="es-ES"/>
    </w:rPr>
  </w:style>
  <w:style w:type="paragraph" w:styleId="Ttulo">
    <w:name w:val="Title"/>
    <w:basedOn w:val="Normal"/>
    <w:link w:val="TtuloCar"/>
    <w:qFormat/>
    <w:rsid w:val="00263250"/>
    <w:pPr>
      <w:jc w:val="center"/>
    </w:pPr>
    <w:rPr>
      <w:b/>
      <w:bCs/>
    </w:rPr>
  </w:style>
  <w:style w:type="character" w:customStyle="1" w:styleId="TtuloCar">
    <w:name w:val="Título Car"/>
    <w:basedOn w:val="Fuentedeprrafopredeter"/>
    <w:link w:val="Ttulo"/>
    <w:rsid w:val="00263250"/>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263250"/>
    <w:pPr>
      <w:ind w:firstLine="1800"/>
      <w:jc w:val="both"/>
    </w:pPr>
  </w:style>
  <w:style w:type="character" w:customStyle="1" w:styleId="SangradetextonormalCar">
    <w:name w:val="Sangría de texto normal Car"/>
    <w:basedOn w:val="Fuentedeprrafopredeter"/>
    <w:link w:val="Sangradetextonormal"/>
    <w:semiHidden/>
    <w:rsid w:val="00263250"/>
    <w:rPr>
      <w:rFonts w:ascii="Arial" w:eastAsia="Times New Roman" w:hAnsi="Arial" w:cs="Times New Roman"/>
      <w:sz w:val="24"/>
      <w:szCs w:val="24"/>
      <w:lang w:val="es-ES" w:eastAsia="es-ES"/>
    </w:rPr>
  </w:style>
  <w:style w:type="paragraph" w:styleId="Textoindependiente">
    <w:name w:val="Body Text"/>
    <w:basedOn w:val="Normal"/>
    <w:link w:val="TextoindependienteCar"/>
    <w:semiHidden/>
    <w:rsid w:val="00263250"/>
    <w:pPr>
      <w:jc w:val="both"/>
    </w:pPr>
  </w:style>
  <w:style w:type="character" w:customStyle="1" w:styleId="TextoindependienteCar">
    <w:name w:val="Texto independiente Car"/>
    <w:basedOn w:val="Fuentedeprrafopredeter"/>
    <w:link w:val="Textoindependiente"/>
    <w:semiHidden/>
    <w:rsid w:val="00263250"/>
    <w:rPr>
      <w:rFonts w:ascii="Arial" w:eastAsia="Times New Roman" w:hAnsi="Arial" w:cs="Times New Roman"/>
      <w:sz w:val="24"/>
      <w:szCs w:val="24"/>
      <w:lang w:val="es-ES" w:eastAsia="es-ES"/>
    </w:rPr>
  </w:style>
  <w:style w:type="paragraph" w:styleId="Sangra2detindependiente">
    <w:name w:val="Body Text Indent 2"/>
    <w:basedOn w:val="Normal"/>
    <w:link w:val="Sangra2detindependienteCar"/>
    <w:semiHidden/>
    <w:rsid w:val="00263250"/>
    <w:pPr>
      <w:ind w:left="360" w:hanging="360"/>
    </w:pPr>
  </w:style>
  <w:style w:type="character" w:customStyle="1" w:styleId="Sangra2detindependienteCar">
    <w:name w:val="Sangría 2 de t. independiente Car"/>
    <w:basedOn w:val="Fuentedeprrafopredeter"/>
    <w:link w:val="Sangra2detindependiente"/>
    <w:semiHidden/>
    <w:rsid w:val="00263250"/>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EA57E1"/>
    <w:pPr>
      <w:tabs>
        <w:tab w:val="center" w:pos="4252"/>
        <w:tab w:val="right" w:pos="8504"/>
      </w:tabs>
    </w:pPr>
  </w:style>
  <w:style w:type="character" w:customStyle="1" w:styleId="EncabezadoCar">
    <w:name w:val="Encabezado Car"/>
    <w:basedOn w:val="Fuentedeprrafopredeter"/>
    <w:link w:val="Encabezado"/>
    <w:uiPriority w:val="99"/>
    <w:rsid w:val="00EA57E1"/>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EA57E1"/>
    <w:pPr>
      <w:tabs>
        <w:tab w:val="center" w:pos="4252"/>
        <w:tab w:val="right" w:pos="8504"/>
      </w:tabs>
    </w:pPr>
  </w:style>
  <w:style w:type="character" w:customStyle="1" w:styleId="PiedepginaCar">
    <w:name w:val="Pie de página Car"/>
    <w:basedOn w:val="Fuentedeprrafopredeter"/>
    <w:link w:val="Piedepgina"/>
    <w:uiPriority w:val="99"/>
    <w:rsid w:val="00EA57E1"/>
    <w:rPr>
      <w:rFonts w:ascii="Arial" w:eastAsia="Times New Roman" w:hAnsi="Arial" w:cs="Times New Roman"/>
      <w:sz w:val="24"/>
      <w:szCs w:val="24"/>
      <w:lang w:val="es-ES" w:eastAsia="es-ES"/>
    </w:rPr>
  </w:style>
  <w:style w:type="character" w:customStyle="1" w:styleId="Ttulo2Car">
    <w:name w:val="Título 2 Car"/>
    <w:basedOn w:val="Fuentedeprrafopredeter"/>
    <w:link w:val="Ttulo2"/>
    <w:rsid w:val="009E558F"/>
    <w:rPr>
      <w:rFonts w:ascii="Arial" w:eastAsia="Times New Roman" w:hAnsi="Arial" w:cs="Times New Roman"/>
      <w:b/>
      <w:bCs/>
      <w:sz w:val="24"/>
      <w:szCs w:val="24"/>
      <w:lang w:val="es-ES" w:eastAsia="es-ES"/>
    </w:rPr>
  </w:style>
  <w:style w:type="paragraph" w:styleId="Textoindependiente2">
    <w:name w:val="Body Text 2"/>
    <w:basedOn w:val="Normal"/>
    <w:link w:val="Textoindependiente2Car"/>
    <w:semiHidden/>
    <w:rsid w:val="009E558F"/>
    <w:pPr>
      <w:jc w:val="both"/>
    </w:pPr>
    <w:rPr>
      <w:b/>
      <w:bCs/>
    </w:rPr>
  </w:style>
  <w:style w:type="character" w:customStyle="1" w:styleId="Textoindependiente2Car">
    <w:name w:val="Texto independiente 2 Car"/>
    <w:basedOn w:val="Fuentedeprrafopredeter"/>
    <w:link w:val="Textoindependiente2"/>
    <w:semiHidden/>
    <w:rsid w:val="009E558F"/>
    <w:rPr>
      <w:rFonts w:ascii="Arial" w:eastAsia="Times New Roman" w:hAnsi="Arial" w:cs="Times New Roman"/>
      <w:b/>
      <w:bCs/>
      <w:sz w:val="24"/>
      <w:szCs w:val="24"/>
      <w:lang w:val="es-ES" w:eastAsia="es-ES"/>
    </w:rPr>
  </w:style>
  <w:style w:type="paragraph" w:styleId="Sangra3detindependiente">
    <w:name w:val="Body Text Indent 3"/>
    <w:basedOn w:val="Normal"/>
    <w:link w:val="Sangra3detindependienteCar"/>
    <w:semiHidden/>
    <w:rsid w:val="009E558F"/>
    <w:pPr>
      <w:spacing w:line="360" w:lineRule="auto"/>
      <w:ind w:left="360" w:hanging="360"/>
      <w:jc w:val="both"/>
    </w:pPr>
  </w:style>
  <w:style w:type="character" w:customStyle="1" w:styleId="Sangra3detindependienteCar">
    <w:name w:val="Sangría 3 de t. independiente Car"/>
    <w:basedOn w:val="Fuentedeprrafopredeter"/>
    <w:link w:val="Sangra3detindependiente"/>
    <w:semiHidden/>
    <w:rsid w:val="009E558F"/>
    <w:rPr>
      <w:rFonts w:ascii="Arial" w:eastAsia="Times New Roman" w:hAnsi="Arial" w:cs="Times New Roman"/>
      <w:sz w:val="24"/>
      <w:szCs w:val="24"/>
      <w:lang w:val="es-ES" w:eastAsia="es-ES"/>
    </w:rPr>
  </w:style>
  <w:style w:type="paragraph" w:styleId="Prrafodelista">
    <w:name w:val="List Paragraph"/>
    <w:basedOn w:val="Normal"/>
    <w:uiPriority w:val="34"/>
    <w:qFormat/>
    <w:rsid w:val="009E558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1348</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Mariangeles Prado</dc:creator>
  <cp:keywords/>
  <dc:description/>
  <cp:lastModifiedBy> </cp:lastModifiedBy>
  <cp:revision>4</cp:revision>
  <dcterms:created xsi:type="dcterms:W3CDTF">2013-11-07T20:14:00Z</dcterms:created>
  <dcterms:modified xsi:type="dcterms:W3CDTF">2013-11-29T19:20:00Z</dcterms:modified>
</cp:coreProperties>
</file>