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8B" w:rsidRDefault="00F44C8B">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F44C8B" w:rsidRDefault="00F44C8B">
      <w:pPr>
        <w:tabs>
          <w:tab w:val="left" w:pos="-720"/>
        </w:tabs>
        <w:suppressAutoHyphens/>
        <w:jc w:val="center"/>
        <w:rPr>
          <w:rFonts w:ascii="Helvetica" w:hAnsi="Helvetica"/>
          <w:b/>
          <w:lang w:val="es-ES_tradnl"/>
        </w:rPr>
      </w:pPr>
    </w:p>
    <w:p w:rsidR="00F44C8B" w:rsidRDefault="00F44C8B">
      <w:pPr>
        <w:tabs>
          <w:tab w:val="center" w:pos="4253"/>
        </w:tabs>
        <w:suppressAutoHyphens/>
        <w:jc w:val="center"/>
        <w:rPr>
          <w:rFonts w:ascii="Helvetica" w:hAnsi="Helvetica"/>
          <w:b/>
          <w:lang w:val="es-ES_tradnl"/>
        </w:rPr>
      </w:pPr>
      <w:r>
        <w:rPr>
          <w:rFonts w:ascii="Helvetica" w:hAnsi="Helvetica"/>
          <w:b/>
          <w:lang w:val="es-ES_tradnl"/>
        </w:rPr>
        <w:t>TRIBUNAL DE CUENTAS</w:t>
      </w:r>
    </w:p>
    <w:p w:rsidR="00F44C8B" w:rsidRDefault="00F44C8B">
      <w:pPr>
        <w:tabs>
          <w:tab w:val="left" w:pos="-720"/>
        </w:tabs>
        <w:suppressAutoHyphens/>
        <w:jc w:val="center"/>
        <w:rPr>
          <w:rFonts w:ascii="Helvetica" w:hAnsi="Helvetica"/>
          <w:b/>
          <w:lang w:val="es-ES_tradnl"/>
        </w:rPr>
      </w:pPr>
    </w:p>
    <w:p w:rsidR="00F44C8B" w:rsidRDefault="00F44C8B">
      <w:pPr>
        <w:tabs>
          <w:tab w:val="center" w:pos="4253"/>
        </w:tabs>
        <w:suppressAutoHyphens/>
        <w:jc w:val="center"/>
        <w:rPr>
          <w:rFonts w:ascii="Helvetica" w:hAnsi="Helvetica"/>
          <w:b/>
          <w:lang w:val="es-ES_tradnl"/>
        </w:rPr>
      </w:pPr>
      <w:r>
        <w:rPr>
          <w:rFonts w:ascii="Helvetica" w:hAnsi="Helvetica"/>
          <w:b/>
          <w:lang w:val="es-ES_tradnl"/>
        </w:rPr>
        <w:t>EN SESION DE FECHA  6 DE NOVIEMBRE DE  2013</w:t>
      </w:r>
    </w:p>
    <w:p w:rsidR="00F44C8B" w:rsidRDefault="00F44C8B">
      <w:pPr>
        <w:tabs>
          <w:tab w:val="center" w:pos="4253"/>
        </w:tabs>
        <w:suppressAutoHyphens/>
        <w:jc w:val="center"/>
        <w:rPr>
          <w:rFonts w:ascii="Helvetica" w:hAnsi="Helvetica"/>
          <w:b/>
          <w:lang w:val="es-ES_tradnl"/>
        </w:rPr>
      </w:pPr>
    </w:p>
    <w:p w:rsidR="00F44C8B" w:rsidRPr="007B6D45" w:rsidRDefault="00F44C8B">
      <w:pPr>
        <w:tabs>
          <w:tab w:val="center" w:pos="4253"/>
        </w:tabs>
        <w:suppressAutoHyphens/>
        <w:jc w:val="center"/>
        <w:rPr>
          <w:rFonts w:ascii="Helvetica" w:hAnsi="Helvetica"/>
          <w:b/>
          <w:lang w:val="es-UY"/>
        </w:rPr>
      </w:pPr>
      <w:r w:rsidRPr="007B6D45">
        <w:rPr>
          <w:rFonts w:ascii="Helvetica" w:hAnsi="Helvetica"/>
          <w:b/>
          <w:lang w:val="es-UY"/>
        </w:rPr>
        <w:t xml:space="preserve">(E. E. Nº </w:t>
      </w:r>
      <w:r w:rsidR="007B6D45" w:rsidRPr="007B6D45">
        <w:rPr>
          <w:rFonts w:ascii="Helvetica" w:hAnsi="Helvetica"/>
          <w:b/>
          <w:lang w:val="es-UY"/>
        </w:rPr>
        <w:t>2013-17-1-0006604</w:t>
      </w:r>
      <w:r w:rsidRPr="007B6D45">
        <w:rPr>
          <w:rFonts w:ascii="Helvetica" w:hAnsi="Helvetica"/>
          <w:b/>
          <w:lang w:val="es-UY"/>
        </w:rPr>
        <w:t>, Ent. N°</w:t>
      </w:r>
      <w:r w:rsidR="007B6D45" w:rsidRPr="007B6D45">
        <w:rPr>
          <w:rFonts w:ascii="Helvetica" w:hAnsi="Helvetica"/>
          <w:b/>
          <w:lang w:val="es-UY"/>
        </w:rPr>
        <w:t xml:space="preserve"> 5750/13.</w:t>
      </w:r>
      <w:r w:rsidRPr="007B6D45">
        <w:rPr>
          <w:rFonts w:ascii="Helvetica" w:hAnsi="Helvetica"/>
          <w:b/>
          <w:lang w:val="es-UY"/>
        </w:rPr>
        <w:t>)</w:t>
      </w:r>
    </w:p>
    <w:p w:rsidR="00F44C8B" w:rsidRPr="007B6D45" w:rsidRDefault="00F44C8B">
      <w:pPr>
        <w:tabs>
          <w:tab w:val="center" w:pos="4253"/>
        </w:tabs>
        <w:suppressAutoHyphens/>
        <w:jc w:val="center"/>
        <w:rPr>
          <w:spacing w:val="-3"/>
          <w:lang w:val="es-UY"/>
        </w:rPr>
      </w:pPr>
    </w:p>
    <w:p w:rsidR="00F44C8B" w:rsidRPr="007B6D45" w:rsidRDefault="00F44C8B">
      <w:pPr>
        <w:tabs>
          <w:tab w:val="center" w:pos="4253"/>
        </w:tabs>
        <w:suppressAutoHyphens/>
        <w:rPr>
          <w:spacing w:val="-3"/>
          <w:lang w:val="es-UY"/>
        </w:rPr>
      </w:pPr>
    </w:p>
    <w:p w:rsidR="00C7185C" w:rsidRDefault="00553B4C" w:rsidP="007B6D45">
      <w:pPr>
        <w:spacing w:line="360" w:lineRule="auto"/>
        <w:ind w:firstLine="708"/>
        <w:jc w:val="both"/>
      </w:pPr>
      <w:r>
        <w:rPr>
          <w:b/>
          <w:bCs/>
        </w:rPr>
        <w:t>VISTO</w:t>
      </w:r>
      <w:r>
        <w:t xml:space="preserve">: estas actuaciones remitidas por el Ministerio de Ganadería, Agricultura y Pesca relacionadas con el convenio suscrito con República Microfinanzas SA  (RMSA); </w:t>
      </w:r>
    </w:p>
    <w:p w:rsidR="00C7185C" w:rsidRDefault="00553B4C" w:rsidP="007B6D45">
      <w:pPr>
        <w:spacing w:line="360" w:lineRule="auto"/>
        <w:ind w:firstLine="708"/>
        <w:jc w:val="both"/>
      </w:pPr>
      <w:r>
        <w:rPr>
          <w:b/>
          <w:bCs/>
        </w:rPr>
        <w:t xml:space="preserve">RESULTANDO: 1) </w:t>
      </w:r>
      <w:r>
        <w:t>que el Ministro de Ganadería, Agricultura y Pesca por Resolución Nº 617/13 de fecha 6 de agosto de 2013 resolvió  dejar sin efecto la Resolución Nº 380/13 de fecha 23.05.13 y suscribir un nuevo convenio con República Microfinanzas SA  (RMSA), con el objeto de la articulación público privada, acordar las condiciones en que RMSA instrumentará y otorgará créditos a productores frutícolas, hortícolas, y avícolas con una tasa preferencial, efectiva anual de 15% en moneda nacional, IVA incluido;</w:t>
      </w:r>
    </w:p>
    <w:p w:rsidR="00C7185C" w:rsidRDefault="00553B4C" w:rsidP="007B6D45">
      <w:pPr>
        <w:spacing w:line="360" w:lineRule="auto"/>
        <w:ind w:firstLine="2694"/>
        <w:jc w:val="both"/>
      </w:pPr>
      <w:r>
        <w:rPr>
          <w:b/>
          <w:bCs/>
        </w:rPr>
        <w:t xml:space="preserve">2) </w:t>
      </w:r>
      <w:r>
        <w:t>que la referida Resolución que se dejó sin efecto, refería a la autorización de suscribir un convenio con un objeto similar al presente con RMSA;</w:t>
      </w:r>
    </w:p>
    <w:p w:rsidR="00C7185C" w:rsidRDefault="00553B4C" w:rsidP="007B6D45">
      <w:pPr>
        <w:spacing w:line="360" w:lineRule="auto"/>
        <w:ind w:firstLine="2694"/>
        <w:jc w:val="both"/>
      </w:pPr>
      <w:r>
        <w:rPr>
          <w:b/>
          <w:bCs/>
        </w:rPr>
        <w:t xml:space="preserve">3) </w:t>
      </w:r>
      <w:r>
        <w:t>que el convenio se suscribió con fecha 6 de agosto de 2013, a los efecto</w:t>
      </w:r>
      <w:r w:rsidR="00BB20E7">
        <w:t>s</w:t>
      </w:r>
      <w:r>
        <w:t xml:space="preserve"> de brindar beneficios de apoyo crediticio a los productores hortícolas, frutícolas y avícolas que fueron afectados por la tormenta del 24 de enero de 2013, en los </w:t>
      </w:r>
      <w:r w:rsidR="00BB20E7">
        <w:t>D</w:t>
      </w:r>
      <w:r>
        <w:t xml:space="preserve">epartamentos de Canelones, alguna </w:t>
      </w:r>
      <w:r w:rsidRPr="006931A8">
        <w:rPr>
          <w:spacing w:val="6"/>
        </w:rPr>
        <w:t>zonas de Montevideo y San José, detallados en un listado, que no superará los $</w:t>
      </w:r>
      <w:r>
        <w:t xml:space="preserve"> 600.000 por productor, con destino a atender costos de producción y mantenimiento de capital de trabajo;</w:t>
      </w:r>
    </w:p>
    <w:p w:rsidR="00C7185C" w:rsidRDefault="00553B4C" w:rsidP="007B6D45">
      <w:pPr>
        <w:spacing w:line="360" w:lineRule="auto"/>
        <w:ind w:firstLine="2694"/>
        <w:jc w:val="both"/>
      </w:pPr>
      <w:r>
        <w:rPr>
          <w:b/>
          <w:bCs/>
        </w:rPr>
        <w:t xml:space="preserve">4) </w:t>
      </w:r>
      <w:r>
        <w:t xml:space="preserve">que la línea de crédito que otorgará RMSA, con garantía del Fondo de Garantía para la Granja, será en pesos, a la tasa de 15% </w:t>
      </w:r>
      <w:r>
        <w:lastRenderedPageBreak/>
        <w:t xml:space="preserve">efectiva anual IVA incluido, subsidiando el MGAP el primer año el 100% de los intereses más IVA y en los años subsiguientes subsidiará el 33,33 % de los intereses más IVA;  </w:t>
      </w:r>
    </w:p>
    <w:p w:rsidR="00C7185C" w:rsidRDefault="00553B4C" w:rsidP="007B6D45">
      <w:pPr>
        <w:spacing w:line="360" w:lineRule="auto"/>
        <w:ind w:firstLine="2694"/>
        <w:jc w:val="both"/>
      </w:pPr>
      <w:r>
        <w:rPr>
          <w:b/>
          <w:bCs/>
        </w:rPr>
        <w:t xml:space="preserve">5) </w:t>
      </w:r>
      <w:r>
        <w:t>que RMSA se obliga a instrumentar y otorgar crédito a los productores propuestos por DIGEGRA, previo compromiso del productor de contratación de un seguro;</w:t>
      </w:r>
    </w:p>
    <w:p w:rsidR="00C7185C" w:rsidRDefault="00553B4C" w:rsidP="007B6D45">
      <w:pPr>
        <w:spacing w:line="360" w:lineRule="auto"/>
        <w:ind w:firstLine="2694"/>
        <w:jc w:val="both"/>
      </w:pPr>
      <w:r>
        <w:rPr>
          <w:b/>
          <w:bCs/>
        </w:rPr>
        <w:t>6)</w:t>
      </w:r>
      <w:r>
        <w:t xml:space="preserve"> que el MGAP-DIGEGRA se obliga a apoyar en todas las tareas para la ejecución del convenio, además deberá controlar la contratación del seguro por parte de los productores;</w:t>
      </w:r>
    </w:p>
    <w:p w:rsidR="00C7185C" w:rsidRDefault="00553B4C" w:rsidP="00BB20E7">
      <w:pPr>
        <w:spacing w:line="360" w:lineRule="auto"/>
        <w:ind w:firstLine="2694"/>
        <w:jc w:val="both"/>
      </w:pPr>
      <w:r>
        <w:rPr>
          <w:b/>
          <w:bCs/>
        </w:rPr>
        <w:t xml:space="preserve">7) </w:t>
      </w:r>
      <w:r>
        <w:t>que el Área Financiero Contable con fecha 26 de julio de 2013 informa que el convenio en el presente ejercicio no generará erogación, que los que se generen en el ejercicio 2014 serán atendidos con los créditos presupuestales correspondientes a</w:t>
      </w:r>
      <w:r w:rsidR="009D48A1">
        <w:t>l</w:t>
      </w:r>
      <w:r>
        <w:t xml:space="preserve"> </w:t>
      </w:r>
      <w:r w:rsidR="009D48A1">
        <w:t>mismo</w:t>
      </w:r>
      <w:r>
        <w:t>;</w:t>
      </w:r>
    </w:p>
    <w:p w:rsidR="00C7185C" w:rsidRDefault="00553B4C" w:rsidP="00A0220A">
      <w:pPr>
        <w:spacing w:line="360" w:lineRule="auto"/>
        <w:ind w:firstLine="708"/>
        <w:jc w:val="both"/>
      </w:pPr>
      <w:r>
        <w:rPr>
          <w:b/>
          <w:bCs/>
        </w:rPr>
        <w:t>CONSIDERANDO:</w:t>
      </w:r>
      <w:r>
        <w:t xml:space="preserve">  </w:t>
      </w:r>
      <w:r>
        <w:rPr>
          <w:b/>
          <w:bCs/>
        </w:rPr>
        <w:t>1)</w:t>
      </w:r>
      <w:r>
        <w:t xml:space="preserve"> que el </w:t>
      </w:r>
      <w:r w:rsidR="00A0220A">
        <w:t>A</w:t>
      </w:r>
      <w:r>
        <w:t xml:space="preserve">rtículo 1 de la Ley No. 17.503 de 29 de mayo de 2002 creó el Fondo de Fomento de la Granja con los cometidos enumerados en los </w:t>
      </w:r>
      <w:r w:rsidR="00A0220A">
        <w:t>N</w:t>
      </w:r>
      <w:r>
        <w:t>umerales 1</w:t>
      </w:r>
      <w:r w:rsidR="00A0220A">
        <w:t>)</w:t>
      </w:r>
      <w:r>
        <w:t xml:space="preserve"> a 8</w:t>
      </w:r>
      <w:r w:rsidR="00A0220A">
        <w:t>)</w:t>
      </w:r>
      <w:r>
        <w:t xml:space="preserve">, modificados por la Ley No. 18.827 de 21 de octubre de 2011, estableciendo en el </w:t>
      </w:r>
      <w:r w:rsidR="00A0220A">
        <w:t>N</w:t>
      </w:r>
      <w:r>
        <w:t>umeral 5</w:t>
      </w:r>
      <w:r w:rsidR="00A0220A">
        <w:t>)</w:t>
      </w:r>
      <w:r>
        <w:t xml:space="preserve"> el destino entre otros, el de promover un sistema de garantías para el sector</w:t>
      </w:r>
      <w:r w:rsidR="006931A8">
        <w:t xml:space="preserve"> </w:t>
      </w:r>
      <w:r w:rsidR="00A0220A">
        <w:t xml:space="preserve"> </w:t>
      </w:r>
      <w:r>
        <w:t>granjero aportando recursos para fondos de garantía;</w:t>
      </w:r>
    </w:p>
    <w:p w:rsidR="00C7185C" w:rsidRDefault="00553B4C" w:rsidP="00A0220A">
      <w:pPr>
        <w:spacing w:line="360" w:lineRule="auto"/>
        <w:ind w:firstLine="2977"/>
        <w:jc w:val="both"/>
      </w:pPr>
      <w:r>
        <w:rPr>
          <w:b/>
          <w:bCs/>
        </w:rPr>
        <w:t>2)</w:t>
      </w:r>
      <w:r>
        <w:t xml:space="preserve"> que el Decreto Reglamentario de la referida </w:t>
      </w:r>
      <w:r w:rsidR="009D48A1">
        <w:t>L</w:t>
      </w:r>
      <w:r>
        <w:t xml:space="preserve">ey de fecha 16.08.12, en su </w:t>
      </w:r>
      <w:r w:rsidR="009D48A1">
        <w:t>A</w:t>
      </w:r>
      <w:r>
        <w:t>rtículo 4 establece el sistema de garantías para el sector granjero para el acceso al crédito, con recursos del Fondo de Fomento de la Granja, disponiendo además que el MGAP podrá realizar convenios con organismos o empresas financieras y/o contratos de fideicomisos con agentes fiduciarios que favorezcan el acceso al crédito de los productores granjeros;</w:t>
      </w:r>
    </w:p>
    <w:p w:rsidR="00C7185C" w:rsidRDefault="00553B4C" w:rsidP="009D48A1">
      <w:pPr>
        <w:spacing w:line="360" w:lineRule="auto"/>
        <w:ind w:firstLine="2977"/>
        <w:jc w:val="both"/>
        <w:rPr>
          <w:lang w:val="es-MX"/>
        </w:rPr>
      </w:pPr>
      <w:r>
        <w:rPr>
          <w:b/>
          <w:bCs/>
        </w:rPr>
        <w:t>3)</w:t>
      </w:r>
      <w:r>
        <w:t xml:space="preserve"> que </w:t>
      </w:r>
      <w:bookmarkStart w:id="0" w:name="_GoBack"/>
      <w:bookmarkEnd w:id="0"/>
      <w:r>
        <w:rPr>
          <w:lang w:val="es-MX"/>
        </w:rPr>
        <w:t xml:space="preserve">República Microfinanzas S.A. es una sociedad anónima constituida por acta de fecha 22 de enero de 2008, cuyo único accionista es el Banco de la República Oriental del Uruguay, que tiene como misión promover el crecimiento de las unidades económicas pequeñas y </w:t>
      </w:r>
      <w:r>
        <w:rPr>
          <w:lang w:val="es-MX"/>
        </w:rPr>
        <w:lastRenderedPageBreak/>
        <w:t>de los sectores de bajos ingresos en el Uruguay, ofreciendo servicios financieros y no financieros eficientes, que contribuyan a su desarrollo económico y social;</w:t>
      </w:r>
    </w:p>
    <w:p w:rsidR="00C7185C" w:rsidRDefault="00553B4C" w:rsidP="009D48A1">
      <w:pPr>
        <w:spacing w:line="360" w:lineRule="auto"/>
        <w:ind w:firstLine="2977"/>
        <w:jc w:val="both"/>
        <w:rPr>
          <w:rFonts w:cs="Arial"/>
          <w:lang w:val="es-MX"/>
        </w:rPr>
      </w:pPr>
      <w:r>
        <w:rPr>
          <w:rFonts w:cs="Arial"/>
          <w:b/>
          <w:bCs/>
          <w:lang w:val="es-MX"/>
        </w:rPr>
        <w:t xml:space="preserve">4) </w:t>
      </w:r>
      <w:r>
        <w:rPr>
          <w:rFonts w:cs="Arial"/>
          <w:lang w:val="es-MX"/>
        </w:rPr>
        <w:t xml:space="preserve">que atendiendo a la naturaleza jurídica de las partes del convenio remitido, la selección directa del co-contratante encuadra en la causal excepción establecida en el </w:t>
      </w:r>
      <w:r w:rsidR="009D48A1">
        <w:rPr>
          <w:rFonts w:cs="Arial"/>
          <w:lang w:val="es-MX"/>
        </w:rPr>
        <w:t>L</w:t>
      </w:r>
      <w:r>
        <w:rPr>
          <w:rFonts w:cs="Arial"/>
          <w:lang w:val="es-MX"/>
        </w:rPr>
        <w:t xml:space="preserve">iteral C) </w:t>
      </w:r>
      <w:r w:rsidR="009D48A1">
        <w:rPr>
          <w:rFonts w:cs="Arial"/>
          <w:lang w:val="es-MX"/>
        </w:rPr>
        <w:t>N</w:t>
      </w:r>
      <w:r>
        <w:rPr>
          <w:rFonts w:cs="Arial"/>
          <w:lang w:val="es-MX"/>
        </w:rPr>
        <w:t>umeral 19</w:t>
      </w:r>
      <w:r w:rsidR="009D48A1">
        <w:rPr>
          <w:rFonts w:cs="Arial"/>
          <w:lang w:val="es-MX"/>
        </w:rPr>
        <w:t>)</w:t>
      </w:r>
      <w:r>
        <w:rPr>
          <w:rFonts w:cs="Arial"/>
          <w:lang w:val="es-MX"/>
        </w:rPr>
        <w:t xml:space="preserve"> del </w:t>
      </w:r>
      <w:r w:rsidR="009D48A1">
        <w:rPr>
          <w:rFonts w:cs="Arial"/>
          <w:lang w:val="es-MX"/>
        </w:rPr>
        <w:t>A</w:t>
      </w:r>
      <w:r>
        <w:rPr>
          <w:rFonts w:cs="Arial"/>
          <w:lang w:val="es-MX"/>
        </w:rPr>
        <w:t>rt</w:t>
      </w:r>
      <w:r w:rsidR="009D48A1">
        <w:rPr>
          <w:rFonts w:cs="Arial"/>
          <w:lang w:val="es-MX"/>
        </w:rPr>
        <w:t>í</w:t>
      </w:r>
      <w:r>
        <w:rPr>
          <w:rFonts w:cs="Arial"/>
          <w:lang w:val="es-MX"/>
        </w:rPr>
        <w:t>culo 33 del TOCAF;</w:t>
      </w:r>
    </w:p>
    <w:p w:rsidR="00C7185C" w:rsidRDefault="00553B4C" w:rsidP="009D48A1">
      <w:pPr>
        <w:spacing w:line="360" w:lineRule="auto"/>
        <w:ind w:firstLine="2977"/>
        <w:jc w:val="both"/>
        <w:rPr>
          <w:rFonts w:cs="Arial"/>
          <w:lang w:val="es-MX"/>
        </w:rPr>
      </w:pPr>
      <w:r>
        <w:rPr>
          <w:rFonts w:cs="Arial"/>
          <w:b/>
          <w:bCs/>
          <w:lang w:val="es-MX"/>
        </w:rPr>
        <w:t xml:space="preserve">5) </w:t>
      </w:r>
      <w:r>
        <w:rPr>
          <w:rFonts w:cs="Arial"/>
          <w:lang w:val="es-MX"/>
        </w:rPr>
        <w:t xml:space="preserve">que </w:t>
      </w:r>
      <w:r>
        <w:t xml:space="preserve">el convenio fue suscrito con fecha 06 de agosto de 2013, </w:t>
      </w:r>
      <w:r w:rsidR="00325497">
        <w:t>y remitido</w:t>
      </w:r>
      <w:r>
        <w:t xml:space="preserve"> a la intervención de este Tribunal después de haber asumido las obligaciones la Administración actuante, contraviniendo lo dispuesto por el Literal B) del Artículo 211 de la Constitución de la República;</w:t>
      </w:r>
    </w:p>
    <w:p w:rsidR="00C7185C" w:rsidRDefault="00553B4C" w:rsidP="009D48A1">
      <w:pPr>
        <w:spacing w:line="360" w:lineRule="auto"/>
        <w:ind w:firstLine="708"/>
        <w:jc w:val="both"/>
      </w:pPr>
      <w:r>
        <w:rPr>
          <w:b/>
          <w:bCs/>
        </w:rPr>
        <w:t>ATENTO:</w:t>
      </w:r>
      <w:r>
        <w:t xml:space="preserve"> a lo precedentemente expuesto y a lo dispuesto por el </w:t>
      </w:r>
      <w:r w:rsidR="00325497">
        <w:t>A</w:t>
      </w:r>
      <w:r>
        <w:t>rtículo 211 Literal B) de la Constitución de la República;</w:t>
      </w:r>
    </w:p>
    <w:p w:rsidR="00C7185C" w:rsidRDefault="00553B4C">
      <w:pPr>
        <w:pStyle w:val="Ttulo1"/>
        <w:spacing w:line="360" w:lineRule="auto"/>
      </w:pPr>
      <w:r>
        <w:t xml:space="preserve">                                              EL TRIBUNAL ACUERDA</w:t>
      </w:r>
    </w:p>
    <w:p w:rsidR="00C7185C" w:rsidRDefault="00325497" w:rsidP="00325497">
      <w:pPr>
        <w:spacing w:line="360" w:lineRule="auto"/>
        <w:ind w:left="284" w:hanging="284"/>
        <w:jc w:val="both"/>
      </w:pPr>
      <w:r w:rsidRPr="00325497">
        <w:rPr>
          <w:b/>
        </w:rPr>
        <w:t>1)</w:t>
      </w:r>
      <w:r>
        <w:rPr>
          <w:b/>
        </w:rPr>
        <w:t xml:space="preserve"> </w:t>
      </w:r>
      <w:r w:rsidR="00553B4C">
        <w:t xml:space="preserve">Observar el convenio suscrito el 6 de agosto de 2013 </w:t>
      </w:r>
      <w:r w:rsidR="00C47758">
        <w:t>por</w:t>
      </w:r>
      <w:r w:rsidR="00553B4C">
        <w:t xml:space="preserve"> Ministerio de Ganadería, Agricultura y Pesca y República Microf</w:t>
      </w:r>
      <w:r w:rsidR="00C47758">
        <w:t>inanzas SA  (RMSA), de acuerdo con</w:t>
      </w:r>
      <w:r w:rsidR="00553B4C">
        <w:t xml:space="preserve"> lo e</w:t>
      </w:r>
      <w:r w:rsidR="00C47758">
        <w:t>xpresado</w:t>
      </w:r>
      <w:r w:rsidR="00553B4C">
        <w:t xml:space="preserve"> en el Considerando 5) de la presente Resolución;</w:t>
      </w:r>
    </w:p>
    <w:p w:rsidR="00C7185C" w:rsidRDefault="00553B4C" w:rsidP="00C47758">
      <w:pPr>
        <w:spacing w:line="360" w:lineRule="auto"/>
        <w:jc w:val="both"/>
      </w:pPr>
      <w:r>
        <w:rPr>
          <w:b/>
          <w:bCs/>
        </w:rPr>
        <w:t xml:space="preserve">2) </w:t>
      </w:r>
      <w:r w:rsidR="00C47758">
        <w:t>Devolver las actuaciones.</w:t>
      </w:r>
    </w:p>
    <w:p w:rsidR="00C7185C" w:rsidRDefault="00C7185C">
      <w:pPr>
        <w:spacing w:line="360" w:lineRule="auto"/>
        <w:jc w:val="both"/>
      </w:pPr>
    </w:p>
    <w:p w:rsidR="00C7185C" w:rsidRDefault="00C7185C">
      <w:pPr>
        <w:spacing w:line="360" w:lineRule="auto"/>
        <w:jc w:val="right"/>
      </w:pPr>
    </w:p>
    <w:p w:rsidR="00C7185C" w:rsidRDefault="00C7185C">
      <w:pPr>
        <w:spacing w:line="360" w:lineRule="auto"/>
        <w:jc w:val="both"/>
      </w:pPr>
    </w:p>
    <w:p w:rsidR="00C47758" w:rsidRDefault="00C47758">
      <w:pPr>
        <w:spacing w:line="360" w:lineRule="auto"/>
        <w:jc w:val="both"/>
      </w:pPr>
    </w:p>
    <w:p w:rsidR="00C47758" w:rsidRDefault="00C47758">
      <w:pPr>
        <w:spacing w:line="360" w:lineRule="auto"/>
        <w:jc w:val="both"/>
      </w:pPr>
    </w:p>
    <w:p w:rsidR="00C47758" w:rsidRDefault="00C47758">
      <w:pPr>
        <w:spacing w:line="360" w:lineRule="auto"/>
        <w:jc w:val="both"/>
      </w:pPr>
      <w:r>
        <w:t>cr</w:t>
      </w:r>
    </w:p>
    <w:p w:rsidR="00C7185C" w:rsidRDefault="00C7185C">
      <w:pPr>
        <w:spacing w:line="360" w:lineRule="auto"/>
        <w:jc w:val="both"/>
      </w:pPr>
    </w:p>
    <w:sectPr w:rsidR="00C7185C" w:rsidSect="00C47758">
      <w:footerReference w:type="even" r:id="rId8"/>
      <w:footerReference w:type="default" r:id="rId9"/>
      <w:pgSz w:w="11906" w:h="16838" w:code="9"/>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5C" w:rsidRDefault="00553B4C">
      <w:r>
        <w:separator/>
      </w:r>
    </w:p>
  </w:endnote>
  <w:endnote w:type="continuationSeparator" w:id="0">
    <w:p w:rsidR="00C7185C" w:rsidRDefault="0055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5C" w:rsidRDefault="00553B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7185C" w:rsidRDefault="00C7185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5C" w:rsidRDefault="00553B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31A8">
      <w:rPr>
        <w:rStyle w:val="Nmerodepgina"/>
        <w:noProof/>
      </w:rPr>
      <w:t>2</w:t>
    </w:r>
    <w:r>
      <w:rPr>
        <w:rStyle w:val="Nmerodepgina"/>
      </w:rPr>
      <w:fldChar w:fldCharType="end"/>
    </w:r>
  </w:p>
  <w:p w:rsidR="00C7185C" w:rsidRDefault="00C7185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5C" w:rsidRDefault="00553B4C">
      <w:r>
        <w:separator/>
      </w:r>
    </w:p>
  </w:footnote>
  <w:footnote w:type="continuationSeparator" w:id="0">
    <w:p w:rsidR="00C7185C" w:rsidRDefault="00553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A4537D2"/>
    <w:multiLevelType w:val="hybridMultilevel"/>
    <w:tmpl w:val="9684BD0E"/>
    <w:lvl w:ilvl="0" w:tplc="C0F62512">
      <w:start w:val="1"/>
      <w:numFmt w:val="decimal"/>
      <w:lvlText w:val="%1)"/>
      <w:lvlJc w:val="left"/>
      <w:pPr>
        <w:tabs>
          <w:tab w:val="num" w:pos="1005"/>
        </w:tabs>
        <w:ind w:left="1005" w:hanging="360"/>
      </w:pPr>
      <w:rPr>
        <w:rFonts w:hint="default"/>
      </w:rPr>
    </w:lvl>
    <w:lvl w:ilvl="1" w:tplc="0C0A0019" w:tentative="1">
      <w:start w:val="1"/>
      <w:numFmt w:val="lowerLetter"/>
      <w:lvlText w:val="%2."/>
      <w:lvlJc w:val="left"/>
      <w:pPr>
        <w:tabs>
          <w:tab w:val="num" w:pos="1725"/>
        </w:tabs>
        <w:ind w:left="1725" w:hanging="360"/>
      </w:pPr>
    </w:lvl>
    <w:lvl w:ilvl="2" w:tplc="0C0A001B" w:tentative="1">
      <w:start w:val="1"/>
      <w:numFmt w:val="lowerRoman"/>
      <w:lvlText w:val="%3."/>
      <w:lvlJc w:val="right"/>
      <w:pPr>
        <w:tabs>
          <w:tab w:val="num" w:pos="2445"/>
        </w:tabs>
        <w:ind w:left="2445" w:hanging="180"/>
      </w:pPr>
    </w:lvl>
    <w:lvl w:ilvl="3" w:tplc="0C0A000F" w:tentative="1">
      <w:start w:val="1"/>
      <w:numFmt w:val="decimal"/>
      <w:lvlText w:val="%4."/>
      <w:lvlJc w:val="left"/>
      <w:pPr>
        <w:tabs>
          <w:tab w:val="num" w:pos="3165"/>
        </w:tabs>
        <w:ind w:left="3165" w:hanging="360"/>
      </w:pPr>
    </w:lvl>
    <w:lvl w:ilvl="4" w:tplc="0C0A0019" w:tentative="1">
      <w:start w:val="1"/>
      <w:numFmt w:val="lowerLetter"/>
      <w:lvlText w:val="%5."/>
      <w:lvlJc w:val="left"/>
      <w:pPr>
        <w:tabs>
          <w:tab w:val="num" w:pos="3885"/>
        </w:tabs>
        <w:ind w:left="3885" w:hanging="360"/>
      </w:pPr>
    </w:lvl>
    <w:lvl w:ilvl="5" w:tplc="0C0A001B" w:tentative="1">
      <w:start w:val="1"/>
      <w:numFmt w:val="lowerRoman"/>
      <w:lvlText w:val="%6."/>
      <w:lvlJc w:val="right"/>
      <w:pPr>
        <w:tabs>
          <w:tab w:val="num" w:pos="4605"/>
        </w:tabs>
        <w:ind w:left="4605" w:hanging="180"/>
      </w:pPr>
    </w:lvl>
    <w:lvl w:ilvl="6" w:tplc="0C0A000F" w:tentative="1">
      <w:start w:val="1"/>
      <w:numFmt w:val="decimal"/>
      <w:lvlText w:val="%7."/>
      <w:lvlJc w:val="left"/>
      <w:pPr>
        <w:tabs>
          <w:tab w:val="num" w:pos="5325"/>
        </w:tabs>
        <w:ind w:left="5325" w:hanging="360"/>
      </w:pPr>
    </w:lvl>
    <w:lvl w:ilvl="7" w:tplc="0C0A0019" w:tentative="1">
      <w:start w:val="1"/>
      <w:numFmt w:val="lowerLetter"/>
      <w:lvlText w:val="%8."/>
      <w:lvlJc w:val="left"/>
      <w:pPr>
        <w:tabs>
          <w:tab w:val="num" w:pos="6045"/>
        </w:tabs>
        <w:ind w:left="6045" w:hanging="360"/>
      </w:pPr>
    </w:lvl>
    <w:lvl w:ilvl="8" w:tplc="0C0A001B" w:tentative="1">
      <w:start w:val="1"/>
      <w:numFmt w:val="lowerRoman"/>
      <w:lvlText w:val="%9."/>
      <w:lvlJc w:val="right"/>
      <w:pPr>
        <w:tabs>
          <w:tab w:val="num" w:pos="6765"/>
        </w:tabs>
        <w:ind w:left="6765" w:hanging="180"/>
      </w:pPr>
    </w:lvl>
  </w:abstractNum>
  <w:abstractNum w:abstractNumId="2">
    <w:nsid w:val="0F433E13"/>
    <w:multiLevelType w:val="hybridMultilevel"/>
    <w:tmpl w:val="F9E8E84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CD831F3"/>
    <w:multiLevelType w:val="hybridMultilevel"/>
    <w:tmpl w:val="082CFC62"/>
    <w:lvl w:ilvl="0" w:tplc="50C6555C">
      <w:start w:val="1"/>
      <w:numFmt w:val="decimal"/>
      <w:lvlText w:val="%1)"/>
      <w:lvlJc w:val="left"/>
      <w:pPr>
        <w:tabs>
          <w:tab w:val="num" w:pos="1005"/>
        </w:tabs>
        <w:ind w:left="1005" w:hanging="360"/>
      </w:pPr>
      <w:rPr>
        <w:rFonts w:hint="default"/>
        <w:b/>
      </w:rPr>
    </w:lvl>
    <w:lvl w:ilvl="1" w:tplc="0C0A0019" w:tentative="1">
      <w:start w:val="1"/>
      <w:numFmt w:val="lowerLetter"/>
      <w:lvlText w:val="%2."/>
      <w:lvlJc w:val="left"/>
      <w:pPr>
        <w:tabs>
          <w:tab w:val="num" w:pos="1725"/>
        </w:tabs>
        <w:ind w:left="1725" w:hanging="360"/>
      </w:pPr>
    </w:lvl>
    <w:lvl w:ilvl="2" w:tplc="0C0A001B" w:tentative="1">
      <w:start w:val="1"/>
      <w:numFmt w:val="lowerRoman"/>
      <w:lvlText w:val="%3."/>
      <w:lvlJc w:val="right"/>
      <w:pPr>
        <w:tabs>
          <w:tab w:val="num" w:pos="2445"/>
        </w:tabs>
        <w:ind w:left="2445" w:hanging="180"/>
      </w:pPr>
    </w:lvl>
    <w:lvl w:ilvl="3" w:tplc="0C0A000F" w:tentative="1">
      <w:start w:val="1"/>
      <w:numFmt w:val="decimal"/>
      <w:lvlText w:val="%4."/>
      <w:lvlJc w:val="left"/>
      <w:pPr>
        <w:tabs>
          <w:tab w:val="num" w:pos="3165"/>
        </w:tabs>
        <w:ind w:left="3165" w:hanging="360"/>
      </w:pPr>
    </w:lvl>
    <w:lvl w:ilvl="4" w:tplc="0C0A0019" w:tentative="1">
      <w:start w:val="1"/>
      <w:numFmt w:val="lowerLetter"/>
      <w:lvlText w:val="%5."/>
      <w:lvlJc w:val="left"/>
      <w:pPr>
        <w:tabs>
          <w:tab w:val="num" w:pos="3885"/>
        </w:tabs>
        <w:ind w:left="3885" w:hanging="360"/>
      </w:pPr>
    </w:lvl>
    <w:lvl w:ilvl="5" w:tplc="0C0A001B" w:tentative="1">
      <w:start w:val="1"/>
      <w:numFmt w:val="lowerRoman"/>
      <w:lvlText w:val="%6."/>
      <w:lvlJc w:val="right"/>
      <w:pPr>
        <w:tabs>
          <w:tab w:val="num" w:pos="4605"/>
        </w:tabs>
        <w:ind w:left="4605" w:hanging="180"/>
      </w:pPr>
    </w:lvl>
    <w:lvl w:ilvl="6" w:tplc="0C0A000F" w:tentative="1">
      <w:start w:val="1"/>
      <w:numFmt w:val="decimal"/>
      <w:lvlText w:val="%7."/>
      <w:lvlJc w:val="left"/>
      <w:pPr>
        <w:tabs>
          <w:tab w:val="num" w:pos="5325"/>
        </w:tabs>
        <w:ind w:left="5325" w:hanging="360"/>
      </w:pPr>
    </w:lvl>
    <w:lvl w:ilvl="7" w:tplc="0C0A0019" w:tentative="1">
      <w:start w:val="1"/>
      <w:numFmt w:val="lowerLetter"/>
      <w:lvlText w:val="%8."/>
      <w:lvlJc w:val="left"/>
      <w:pPr>
        <w:tabs>
          <w:tab w:val="num" w:pos="6045"/>
        </w:tabs>
        <w:ind w:left="6045" w:hanging="360"/>
      </w:pPr>
    </w:lvl>
    <w:lvl w:ilvl="8" w:tplc="0C0A001B" w:tentative="1">
      <w:start w:val="1"/>
      <w:numFmt w:val="lowerRoman"/>
      <w:lvlText w:val="%9."/>
      <w:lvlJc w:val="right"/>
      <w:pPr>
        <w:tabs>
          <w:tab w:val="num" w:pos="6765"/>
        </w:tabs>
        <w:ind w:left="6765" w:hanging="180"/>
      </w:pPr>
    </w:lvl>
  </w:abstractNum>
  <w:abstractNum w:abstractNumId="4">
    <w:nsid w:val="5515474E"/>
    <w:multiLevelType w:val="hybridMultilevel"/>
    <w:tmpl w:val="CA3A90BE"/>
    <w:lvl w:ilvl="0" w:tplc="C96A9B7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C7E101B"/>
    <w:multiLevelType w:val="hybridMultilevel"/>
    <w:tmpl w:val="3FBEA7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C8B"/>
    <w:rsid w:val="00325497"/>
    <w:rsid w:val="00553B4C"/>
    <w:rsid w:val="006931A8"/>
    <w:rsid w:val="007B6D45"/>
    <w:rsid w:val="009D48A1"/>
    <w:rsid w:val="00A0220A"/>
    <w:rsid w:val="00BB20E7"/>
    <w:rsid w:val="00C47758"/>
    <w:rsid w:val="00C7185C"/>
    <w:rsid w:val="00F44C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qFormat/>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spacing w:line="360" w:lineRule="auto"/>
      <w:jc w:val="both"/>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customStyle="1" w:styleId="apple-converted-space">
    <w:name w:val="apple-converted-space"/>
    <w:basedOn w:val="Fuentedeprrafoprede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3829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Carpeta 221014</vt:lpstr>
    </vt:vector>
  </TitlesOfParts>
  <Company>Tribunal de Cuentas de la República</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221014</dc:title>
  <dc:subject/>
  <dc:creator>TRIBUNAL1</dc:creator>
  <cp:keywords/>
  <dc:description/>
  <cp:lastModifiedBy>Miriam Cristina Rivero</cp:lastModifiedBy>
  <cp:revision>2</cp:revision>
  <cp:lastPrinted>2013-11-07T17:29:00Z</cp:lastPrinted>
  <dcterms:created xsi:type="dcterms:W3CDTF">2013-11-07T17:29:00Z</dcterms:created>
  <dcterms:modified xsi:type="dcterms:W3CDTF">2013-11-07T17:29:00Z</dcterms:modified>
</cp:coreProperties>
</file>